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D899" w14:textId="77777777" w:rsidR="00A167AA" w:rsidRPr="0011558B" w:rsidRDefault="00A167AA" w:rsidP="00277242">
      <w:pPr>
        <w:pStyle w:val="Tytu"/>
        <w:ind w:left="6804" w:firstLine="0"/>
        <w:jc w:val="left"/>
        <w:rPr>
          <w:b w:val="0"/>
          <w:sz w:val="18"/>
        </w:rPr>
      </w:pPr>
      <w:r w:rsidRPr="0011558B">
        <w:rPr>
          <w:b w:val="0"/>
          <w:sz w:val="18"/>
        </w:rPr>
        <w:t xml:space="preserve">Załącznik </w:t>
      </w:r>
    </w:p>
    <w:p w14:paraId="13DC3708" w14:textId="73B622F0" w:rsidR="00A167AA" w:rsidRPr="0011558B" w:rsidRDefault="00A167AA" w:rsidP="00277242">
      <w:pPr>
        <w:pStyle w:val="Tytu"/>
        <w:ind w:left="6804" w:firstLine="0"/>
        <w:jc w:val="left"/>
        <w:rPr>
          <w:b w:val="0"/>
          <w:sz w:val="18"/>
          <w:lang w:val="pl-PL"/>
        </w:rPr>
      </w:pPr>
      <w:r w:rsidRPr="0011558B">
        <w:rPr>
          <w:b w:val="0"/>
          <w:sz w:val="18"/>
        </w:rPr>
        <w:t>do Uchwały nr</w:t>
      </w:r>
      <w:r w:rsidR="001E1E4E">
        <w:rPr>
          <w:b w:val="0"/>
          <w:sz w:val="18"/>
          <w:lang w:val="pl-PL"/>
        </w:rPr>
        <w:t xml:space="preserve"> </w:t>
      </w:r>
      <w:r w:rsidR="00AD690D">
        <w:rPr>
          <w:b w:val="0"/>
          <w:sz w:val="18"/>
          <w:lang w:val="pl-PL"/>
        </w:rPr>
        <w:t>261</w:t>
      </w:r>
      <w:r w:rsidR="00540382">
        <w:rPr>
          <w:b w:val="0"/>
          <w:sz w:val="18"/>
          <w:lang w:val="pl-PL"/>
        </w:rPr>
        <w:t>/202</w:t>
      </w:r>
      <w:r w:rsidR="00023C6D">
        <w:rPr>
          <w:b w:val="0"/>
          <w:sz w:val="18"/>
          <w:lang w:val="pl-PL"/>
        </w:rPr>
        <w:t>5</w:t>
      </w:r>
    </w:p>
    <w:p w14:paraId="0237F265" w14:textId="77777777" w:rsidR="00A167AA" w:rsidRPr="0011558B" w:rsidRDefault="00A167AA" w:rsidP="00277242">
      <w:pPr>
        <w:pStyle w:val="Tytu"/>
        <w:ind w:left="6804" w:firstLine="0"/>
        <w:jc w:val="left"/>
        <w:rPr>
          <w:b w:val="0"/>
          <w:sz w:val="18"/>
        </w:rPr>
      </w:pPr>
      <w:r w:rsidRPr="0011558B">
        <w:rPr>
          <w:b w:val="0"/>
          <w:sz w:val="18"/>
        </w:rPr>
        <w:t>Zarządu SGB-Banku S.A.</w:t>
      </w:r>
    </w:p>
    <w:p w14:paraId="375AC0EB" w14:textId="567D5E77" w:rsidR="00A167AA" w:rsidRPr="0004137A" w:rsidRDefault="00A167AA" w:rsidP="00277242">
      <w:pPr>
        <w:ind w:left="6804"/>
      </w:pPr>
      <w:r w:rsidRPr="0011558B">
        <w:rPr>
          <w:i/>
          <w:sz w:val="18"/>
        </w:rPr>
        <w:t>z dnia</w:t>
      </w:r>
      <w:r w:rsidR="00AD690D">
        <w:rPr>
          <w:i/>
          <w:sz w:val="18"/>
        </w:rPr>
        <w:t xml:space="preserve"> 12 maja</w:t>
      </w:r>
      <w:r w:rsidR="00193DAE">
        <w:rPr>
          <w:i/>
          <w:sz w:val="18"/>
        </w:rPr>
        <w:t xml:space="preserve"> </w:t>
      </w:r>
      <w:r w:rsidR="00540382">
        <w:rPr>
          <w:i/>
          <w:sz w:val="18"/>
        </w:rPr>
        <w:t>202</w:t>
      </w:r>
      <w:r w:rsidR="00023C6D">
        <w:rPr>
          <w:i/>
          <w:sz w:val="18"/>
        </w:rPr>
        <w:t>5</w:t>
      </w:r>
      <w:r w:rsidR="00540382">
        <w:rPr>
          <w:i/>
          <w:sz w:val="18"/>
        </w:rPr>
        <w:t xml:space="preserve"> r.</w:t>
      </w:r>
    </w:p>
    <w:p w14:paraId="2FA7C201" w14:textId="77777777" w:rsidR="00A167AA" w:rsidRPr="0004137A" w:rsidRDefault="00A167AA" w:rsidP="00A167AA">
      <w:pPr>
        <w:pStyle w:val="Nagwek"/>
        <w:tabs>
          <w:tab w:val="clear" w:pos="4536"/>
          <w:tab w:val="clear" w:pos="9072"/>
        </w:tabs>
        <w:spacing w:line="240" w:lineRule="auto"/>
        <w:rPr>
          <w:position w:val="0"/>
        </w:rPr>
      </w:pPr>
    </w:p>
    <w:p w14:paraId="51CA678B" w14:textId="77777777" w:rsidR="00A167AA" w:rsidRPr="0004137A" w:rsidRDefault="00A167AA" w:rsidP="00A167AA">
      <w:pPr>
        <w:pStyle w:val="Nagwek"/>
        <w:tabs>
          <w:tab w:val="clear" w:pos="4536"/>
          <w:tab w:val="clear" w:pos="9072"/>
        </w:tabs>
        <w:spacing w:line="240" w:lineRule="auto"/>
        <w:rPr>
          <w:position w:val="0"/>
        </w:rPr>
      </w:pPr>
    </w:p>
    <w:p w14:paraId="5CF32EC3" w14:textId="77777777" w:rsidR="00075680" w:rsidRPr="0004137A" w:rsidRDefault="00075680" w:rsidP="00A167AA">
      <w:pPr>
        <w:pStyle w:val="Nagwek"/>
        <w:tabs>
          <w:tab w:val="clear" w:pos="4536"/>
          <w:tab w:val="clear" w:pos="9072"/>
        </w:tabs>
        <w:spacing w:line="240" w:lineRule="auto"/>
        <w:rPr>
          <w:position w:val="0"/>
        </w:rPr>
      </w:pPr>
    </w:p>
    <w:p w14:paraId="7855E4EC" w14:textId="77777777" w:rsidR="00075680" w:rsidRPr="0004137A" w:rsidRDefault="00075680" w:rsidP="00A167AA">
      <w:pPr>
        <w:pStyle w:val="Nagwek"/>
        <w:tabs>
          <w:tab w:val="clear" w:pos="4536"/>
          <w:tab w:val="clear" w:pos="9072"/>
        </w:tabs>
        <w:spacing w:line="240" w:lineRule="auto"/>
        <w:rPr>
          <w:position w:val="0"/>
        </w:rPr>
      </w:pPr>
    </w:p>
    <w:p w14:paraId="123C3C21" w14:textId="77777777" w:rsidR="00075680" w:rsidRPr="0004137A" w:rsidRDefault="00075680" w:rsidP="00A167AA">
      <w:pPr>
        <w:pStyle w:val="Nagwek"/>
        <w:tabs>
          <w:tab w:val="clear" w:pos="4536"/>
          <w:tab w:val="clear" w:pos="9072"/>
        </w:tabs>
        <w:spacing w:line="240" w:lineRule="auto"/>
        <w:rPr>
          <w:position w:val="0"/>
        </w:rPr>
      </w:pPr>
    </w:p>
    <w:p w14:paraId="2BDB8459" w14:textId="77777777" w:rsidR="00A167AA" w:rsidRPr="0004137A" w:rsidRDefault="00611B03" w:rsidP="00A167AA">
      <w:pPr>
        <w:pStyle w:val="Nagwek"/>
        <w:tabs>
          <w:tab w:val="clear" w:pos="4536"/>
          <w:tab w:val="clear" w:pos="9072"/>
        </w:tabs>
        <w:spacing w:line="240" w:lineRule="auto"/>
        <w:jc w:val="center"/>
        <w:rPr>
          <w:position w:val="0"/>
        </w:rPr>
      </w:pPr>
      <w:r w:rsidRPr="0004137A">
        <w:rPr>
          <w:noProof/>
          <w:snapToGrid/>
          <w:position w:val="0"/>
          <w:lang w:val="pl-PL"/>
        </w:rPr>
        <w:drawing>
          <wp:inline distT="0" distB="0" distL="0" distR="0" wp14:anchorId="297711EB" wp14:editId="57F72781">
            <wp:extent cx="2164080" cy="76962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69620"/>
                    </a:xfrm>
                    <a:prstGeom prst="rect">
                      <a:avLst/>
                    </a:prstGeom>
                    <a:noFill/>
                    <a:ln>
                      <a:noFill/>
                    </a:ln>
                  </pic:spPr>
                </pic:pic>
              </a:graphicData>
            </a:graphic>
          </wp:inline>
        </w:drawing>
      </w:r>
    </w:p>
    <w:p w14:paraId="1F711351" w14:textId="77777777" w:rsidR="00A167AA" w:rsidRPr="0004137A" w:rsidRDefault="00A167AA" w:rsidP="00A167AA">
      <w:pPr>
        <w:pStyle w:val="Nagwek"/>
        <w:tabs>
          <w:tab w:val="clear" w:pos="4536"/>
          <w:tab w:val="clear" w:pos="9072"/>
        </w:tabs>
        <w:spacing w:line="240" w:lineRule="auto"/>
        <w:rPr>
          <w:position w:val="0"/>
        </w:rPr>
      </w:pPr>
    </w:p>
    <w:p w14:paraId="4FFEBAC1" w14:textId="77777777" w:rsidR="00A167AA" w:rsidRPr="0004137A" w:rsidRDefault="00A167AA" w:rsidP="00A167AA">
      <w:pPr>
        <w:pStyle w:val="Nagwek"/>
        <w:tabs>
          <w:tab w:val="clear" w:pos="4536"/>
          <w:tab w:val="clear" w:pos="9072"/>
        </w:tabs>
        <w:spacing w:line="240" w:lineRule="auto"/>
        <w:rPr>
          <w:position w:val="0"/>
        </w:rPr>
      </w:pPr>
    </w:p>
    <w:p w14:paraId="7A4F5E05" w14:textId="77777777" w:rsidR="00A167AA" w:rsidRPr="0004137A" w:rsidRDefault="00A167AA" w:rsidP="00A167AA">
      <w:pPr>
        <w:pStyle w:val="Nagwek"/>
        <w:tabs>
          <w:tab w:val="clear" w:pos="4536"/>
          <w:tab w:val="clear" w:pos="9072"/>
        </w:tabs>
        <w:spacing w:line="240" w:lineRule="auto"/>
        <w:rPr>
          <w:position w:val="0"/>
        </w:rPr>
      </w:pPr>
    </w:p>
    <w:p w14:paraId="51D6D2D6" w14:textId="77777777" w:rsidR="00A167AA" w:rsidRPr="0004137A" w:rsidRDefault="00A167AA" w:rsidP="00A167AA">
      <w:pPr>
        <w:pStyle w:val="Nagwek"/>
        <w:tabs>
          <w:tab w:val="clear" w:pos="4536"/>
          <w:tab w:val="clear" w:pos="9072"/>
        </w:tabs>
        <w:spacing w:line="240" w:lineRule="auto"/>
        <w:rPr>
          <w:position w:val="0"/>
        </w:rPr>
      </w:pPr>
    </w:p>
    <w:p w14:paraId="396340AC" w14:textId="77777777" w:rsidR="00A167AA" w:rsidRPr="0004137A" w:rsidRDefault="00A167AA" w:rsidP="00A167AA">
      <w:pPr>
        <w:pStyle w:val="Nagwek"/>
        <w:tabs>
          <w:tab w:val="clear" w:pos="4536"/>
          <w:tab w:val="clear" w:pos="9072"/>
        </w:tabs>
        <w:spacing w:line="240" w:lineRule="auto"/>
        <w:rPr>
          <w:position w:val="0"/>
        </w:rPr>
      </w:pPr>
    </w:p>
    <w:p w14:paraId="2FB4D3A9" w14:textId="77777777" w:rsidR="00A167AA" w:rsidRPr="0004137A" w:rsidRDefault="00A167AA" w:rsidP="00A167AA">
      <w:pPr>
        <w:pStyle w:val="Nagwek"/>
        <w:tabs>
          <w:tab w:val="clear" w:pos="4536"/>
          <w:tab w:val="clear" w:pos="9072"/>
        </w:tabs>
        <w:spacing w:line="240" w:lineRule="auto"/>
        <w:rPr>
          <w:position w:val="0"/>
        </w:rPr>
      </w:pPr>
    </w:p>
    <w:p w14:paraId="4728D7AE" w14:textId="77777777" w:rsidR="00A167AA" w:rsidRPr="0004137A" w:rsidRDefault="00A167AA" w:rsidP="00A167AA">
      <w:pPr>
        <w:pStyle w:val="Nagwek"/>
        <w:tabs>
          <w:tab w:val="clear" w:pos="4536"/>
          <w:tab w:val="clear" w:pos="9072"/>
        </w:tabs>
        <w:spacing w:line="240" w:lineRule="auto"/>
        <w:rPr>
          <w:position w:val="0"/>
        </w:rPr>
      </w:pPr>
    </w:p>
    <w:p w14:paraId="04E70D86" w14:textId="77777777" w:rsidR="00A167AA" w:rsidRPr="0004137A" w:rsidRDefault="00A167AA" w:rsidP="00A167AA">
      <w:pPr>
        <w:pStyle w:val="Nagwek"/>
        <w:tabs>
          <w:tab w:val="clear" w:pos="4536"/>
          <w:tab w:val="clear" w:pos="9072"/>
        </w:tabs>
        <w:spacing w:line="240" w:lineRule="auto"/>
        <w:rPr>
          <w:position w:val="0"/>
        </w:rPr>
      </w:pPr>
    </w:p>
    <w:p w14:paraId="2EFE82F4" w14:textId="77777777" w:rsidR="00A167AA" w:rsidRPr="0004137A" w:rsidRDefault="00A167AA" w:rsidP="00A167AA">
      <w:pPr>
        <w:pStyle w:val="Nagwek"/>
        <w:tabs>
          <w:tab w:val="clear" w:pos="4536"/>
          <w:tab w:val="clear" w:pos="9072"/>
        </w:tabs>
        <w:spacing w:line="240" w:lineRule="auto"/>
        <w:rPr>
          <w:position w:val="0"/>
        </w:rPr>
      </w:pPr>
    </w:p>
    <w:p w14:paraId="74F2AA19" w14:textId="77777777" w:rsidR="00A167AA" w:rsidRPr="0004137A" w:rsidRDefault="00A167AA" w:rsidP="00A167AA">
      <w:pPr>
        <w:pStyle w:val="Nagwek"/>
        <w:tabs>
          <w:tab w:val="clear" w:pos="4536"/>
          <w:tab w:val="clear" w:pos="9072"/>
        </w:tabs>
        <w:spacing w:line="240" w:lineRule="auto"/>
        <w:rPr>
          <w:position w:val="0"/>
        </w:rPr>
      </w:pPr>
    </w:p>
    <w:p w14:paraId="1C746AA9" w14:textId="77777777" w:rsidR="00A167AA" w:rsidRPr="0004137A" w:rsidRDefault="00A167AA" w:rsidP="00A167AA">
      <w:pPr>
        <w:pStyle w:val="Nagwek"/>
        <w:tabs>
          <w:tab w:val="clear" w:pos="4536"/>
          <w:tab w:val="clear" w:pos="9072"/>
        </w:tabs>
        <w:spacing w:line="240" w:lineRule="auto"/>
        <w:rPr>
          <w:position w:val="0"/>
        </w:rPr>
      </w:pPr>
    </w:p>
    <w:p w14:paraId="392C8653" w14:textId="77777777" w:rsidR="00A167AA" w:rsidRPr="0004137A" w:rsidRDefault="00A167AA" w:rsidP="00A167AA">
      <w:pPr>
        <w:pStyle w:val="Nagwek"/>
        <w:tabs>
          <w:tab w:val="clear" w:pos="4536"/>
          <w:tab w:val="clear" w:pos="9072"/>
        </w:tabs>
        <w:spacing w:line="240" w:lineRule="auto"/>
        <w:rPr>
          <w:position w:val="0"/>
        </w:rPr>
      </w:pPr>
    </w:p>
    <w:p w14:paraId="7C29E914" w14:textId="77777777" w:rsidR="00A167AA" w:rsidRPr="0004137A" w:rsidRDefault="00A167AA" w:rsidP="00A167AA">
      <w:pPr>
        <w:pStyle w:val="Nagwek"/>
        <w:tabs>
          <w:tab w:val="clear" w:pos="4536"/>
          <w:tab w:val="clear" w:pos="9072"/>
        </w:tabs>
        <w:spacing w:line="240" w:lineRule="auto"/>
        <w:rPr>
          <w:position w:val="0"/>
        </w:rPr>
      </w:pPr>
    </w:p>
    <w:p w14:paraId="6EDF96AE" w14:textId="77777777" w:rsidR="00A167AA" w:rsidRPr="00F34A42" w:rsidRDefault="00A167AA" w:rsidP="00A167AA">
      <w:pPr>
        <w:pStyle w:val="Nagwek"/>
        <w:tabs>
          <w:tab w:val="clear" w:pos="4536"/>
          <w:tab w:val="clear" w:pos="9072"/>
        </w:tabs>
        <w:spacing w:line="240" w:lineRule="auto"/>
        <w:rPr>
          <w:position w:val="0"/>
        </w:rPr>
      </w:pPr>
    </w:p>
    <w:p w14:paraId="12A47924" w14:textId="77777777" w:rsidR="00A167AA" w:rsidRPr="00F34A42" w:rsidRDefault="00A167AA" w:rsidP="00F40152">
      <w:pPr>
        <w:spacing w:line="360" w:lineRule="auto"/>
        <w:jc w:val="center"/>
        <w:rPr>
          <w:sz w:val="32"/>
          <w:szCs w:val="32"/>
        </w:rPr>
      </w:pPr>
      <w:r w:rsidRPr="00F34A42">
        <w:rPr>
          <w:b/>
          <w:sz w:val="32"/>
          <w:szCs w:val="32"/>
        </w:rPr>
        <w:t xml:space="preserve">Polityka </w:t>
      </w:r>
      <w:r w:rsidR="003B4098" w:rsidRPr="00F34A42">
        <w:rPr>
          <w:b/>
          <w:sz w:val="32"/>
          <w:szCs w:val="32"/>
        </w:rPr>
        <w:t xml:space="preserve">ujawniania </w:t>
      </w:r>
    </w:p>
    <w:p w14:paraId="4AC80B28" w14:textId="77777777" w:rsidR="00A167AA" w:rsidRPr="0004137A" w:rsidRDefault="00A167AA" w:rsidP="00F40152">
      <w:pPr>
        <w:spacing w:line="360" w:lineRule="auto"/>
        <w:jc w:val="center"/>
        <w:rPr>
          <w:b/>
        </w:rPr>
      </w:pPr>
      <w:r w:rsidRPr="00F34A42">
        <w:rPr>
          <w:b/>
          <w:sz w:val="32"/>
          <w:szCs w:val="32"/>
        </w:rPr>
        <w:t xml:space="preserve">w zakresie </w:t>
      </w:r>
      <w:r w:rsidR="00552ECB">
        <w:rPr>
          <w:b/>
          <w:sz w:val="32"/>
          <w:szCs w:val="32"/>
        </w:rPr>
        <w:t xml:space="preserve">profilu ryzyka i </w:t>
      </w:r>
      <w:r w:rsidR="00352C85" w:rsidRPr="00F34A42">
        <w:rPr>
          <w:b/>
          <w:sz w:val="32"/>
          <w:szCs w:val="32"/>
        </w:rPr>
        <w:t>adekwatności kapitałowej oraz innych informacji podlegających obowiązkowi ogłaszania</w:t>
      </w:r>
      <w:r w:rsidRPr="0004137A">
        <w:rPr>
          <w:b/>
          <w:sz w:val="48"/>
        </w:rPr>
        <w:t xml:space="preserve"> </w:t>
      </w:r>
      <w:r w:rsidRPr="0004137A">
        <w:rPr>
          <w:b/>
          <w:sz w:val="48"/>
        </w:rPr>
        <w:br/>
      </w:r>
    </w:p>
    <w:p w14:paraId="7760D665" w14:textId="77777777" w:rsidR="00A167AA" w:rsidRPr="0004137A" w:rsidRDefault="00A167AA" w:rsidP="00A167AA">
      <w:pPr>
        <w:jc w:val="center"/>
        <w:rPr>
          <w:b/>
        </w:rPr>
      </w:pPr>
    </w:p>
    <w:p w14:paraId="590DCADD" w14:textId="77777777" w:rsidR="00A167AA" w:rsidRPr="0004137A" w:rsidRDefault="00A167AA" w:rsidP="00A167AA">
      <w:pPr>
        <w:jc w:val="center"/>
        <w:rPr>
          <w:b/>
        </w:rPr>
      </w:pPr>
    </w:p>
    <w:p w14:paraId="012C68F7" w14:textId="77777777" w:rsidR="00A167AA" w:rsidRPr="0004137A" w:rsidRDefault="00A167AA" w:rsidP="00A167AA">
      <w:pPr>
        <w:jc w:val="center"/>
        <w:rPr>
          <w:b/>
        </w:rPr>
      </w:pPr>
    </w:p>
    <w:p w14:paraId="1FC375B1" w14:textId="77777777" w:rsidR="00A167AA" w:rsidRPr="0004137A" w:rsidRDefault="00A167AA" w:rsidP="00A167AA">
      <w:pPr>
        <w:jc w:val="center"/>
        <w:rPr>
          <w:b/>
        </w:rPr>
      </w:pPr>
    </w:p>
    <w:p w14:paraId="2886D65A" w14:textId="77777777" w:rsidR="00A167AA" w:rsidRPr="0004137A" w:rsidRDefault="00A167AA" w:rsidP="00A167AA">
      <w:pPr>
        <w:jc w:val="center"/>
        <w:rPr>
          <w:b/>
        </w:rPr>
      </w:pPr>
    </w:p>
    <w:p w14:paraId="57DA11E0" w14:textId="77777777" w:rsidR="00A167AA" w:rsidRPr="0004137A" w:rsidRDefault="00A167AA" w:rsidP="00A167AA">
      <w:pPr>
        <w:jc w:val="center"/>
        <w:rPr>
          <w:b/>
        </w:rPr>
      </w:pPr>
    </w:p>
    <w:p w14:paraId="63EC9208" w14:textId="77777777" w:rsidR="00A167AA" w:rsidRPr="0004137A" w:rsidRDefault="00A167AA" w:rsidP="00A167AA">
      <w:pPr>
        <w:jc w:val="center"/>
        <w:rPr>
          <w:b/>
        </w:rPr>
      </w:pPr>
    </w:p>
    <w:p w14:paraId="05AB225D" w14:textId="77777777" w:rsidR="00A167AA" w:rsidRPr="0004137A" w:rsidRDefault="00A167AA" w:rsidP="00A167AA">
      <w:pPr>
        <w:jc w:val="center"/>
        <w:rPr>
          <w:b/>
        </w:rPr>
      </w:pPr>
    </w:p>
    <w:p w14:paraId="1151FB04" w14:textId="77777777" w:rsidR="00A167AA" w:rsidRPr="0004137A" w:rsidRDefault="00A167AA" w:rsidP="00A167AA">
      <w:pPr>
        <w:jc w:val="center"/>
        <w:rPr>
          <w:b/>
        </w:rPr>
      </w:pPr>
    </w:p>
    <w:p w14:paraId="111788E5" w14:textId="77777777" w:rsidR="00A167AA" w:rsidRPr="0004137A" w:rsidRDefault="00A167AA" w:rsidP="00A167AA">
      <w:pPr>
        <w:jc w:val="center"/>
        <w:rPr>
          <w:b/>
        </w:rPr>
      </w:pPr>
    </w:p>
    <w:p w14:paraId="4EEB74C2" w14:textId="77777777" w:rsidR="00A167AA" w:rsidRPr="0004137A" w:rsidRDefault="00A167AA" w:rsidP="00A167AA">
      <w:pPr>
        <w:jc w:val="center"/>
        <w:rPr>
          <w:b/>
        </w:rPr>
      </w:pPr>
    </w:p>
    <w:p w14:paraId="39EB1FD4" w14:textId="77777777" w:rsidR="00A167AA" w:rsidRPr="0004137A" w:rsidRDefault="00A167AA" w:rsidP="00A167AA">
      <w:pPr>
        <w:jc w:val="center"/>
        <w:rPr>
          <w:b/>
        </w:rPr>
      </w:pPr>
    </w:p>
    <w:p w14:paraId="0C30CA55" w14:textId="77777777" w:rsidR="00A167AA" w:rsidRPr="0004137A" w:rsidRDefault="00A167AA" w:rsidP="00A167AA">
      <w:pPr>
        <w:jc w:val="center"/>
        <w:rPr>
          <w:b/>
        </w:rPr>
      </w:pPr>
    </w:p>
    <w:p w14:paraId="46CEC8D7" w14:textId="1F072DEB" w:rsidR="00091C37" w:rsidRPr="0004137A" w:rsidRDefault="00A167AA" w:rsidP="00E44598">
      <w:pPr>
        <w:jc w:val="center"/>
        <w:rPr>
          <w:b/>
        </w:rPr>
      </w:pPr>
      <w:r w:rsidRPr="0004137A">
        <w:rPr>
          <w:b/>
        </w:rPr>
        <w:t>Poznań,</w:t>
      </w:r>
      <w:r w:rsidR="001524C8">
        <w:rPr>
          <w:b/>
        </w:rPr>
        <w:t xml:space="preserve"> </w:t>
      </w:r>
      <w:r w:rsidR="00AD690D">
        <w:rPr>
          <w:b/>
        </w:rPr>
        <w:t>maj</w:t>
      </w:r>
      <w:r w:rsidR="002B7EEE">
        <w:rPr>
          <w:b/>
        </w:rPr>
        <w:t xml:space="preserve"> </w:t>
      </w:r>
      <w:r w:rsidR="00054360" w:rsidRPr="0004137A">
        <w:rPr>
          <w:b/>
        </w:rPr>
        <w:t>202</w:t>
      </w:r>
      <w:r w:rsidR="00023C6D">
        <w:rPr>
          <w:b/>
        </w:rPr>
        <w:t>5</w:t>
      </w:r>
      <w:r w:rsidR="00054360" w:rsidRPr="0004137A">
        <w:rPr>
          <w:b/>
        </w:rPr>
        <w:t xml:space="preserve"> </w:t>
      </w:r>
      <w:r w:rsidR="00036F64" w:rsidRPr="0004137A">
        <w:rPr>
          <w:b/>
        </w:rPr>
        <w:t>r.</w:t>
      </w:r>
    </w:p>
    <w:p w14:paraId="05FBAF29" w14:textId="77777777" w:rsidR="00780E64" w:rsidRPr="0004137A" w:rsidRDefault="00780E64" w:rsidP="00780E64"/>
    <w:p w14:paraId="237B5D36" w14:textId="77777777" w:rsidR="007C6965" w:rsidRDefault="00E44598" w:rsidP="007C6965">
      <w:bookmarkStart w:id="0" w:name="_Toc467760311"/>
      <w:r>
        <w:br w:type="page"/>
      </w:r>
      <w:bookmarkStart w:id="1" w:name="_GoBack"/>
      <w:bookmarkEnd w:id="1"/>
    </w:p>
    <w:p w14:paraId="4EB3A5A0" w14:textId="77777777" w:rsidR="007C6965" w:rsidRPr="00257595" w:rsidRDefault="007C6965" w:rsidP="00257595">
      <w:pPr>
        <w:pStyle w:val="Nagwekspisutreci"/>
        <w:spacing w:line="360" w:lineRule="auto"/>
        <w:jc w:val="center"/>
        <w:rPr>
          <w:rFonts w:ascii="Times New Roman" w:hAnsi="Times New Roman"/>
          <w:b/>
          <w:bCs/>
          <w:color w:val="auto"/>
          <w:sz w:val="24"/>
          <w:szCs w:val="24"/>
        </w:rPr>
      </w:pPr>
      <w:r w:rsidRPr="00257595">
        <w:rPr>
          <w:rFonts w:ascii="Times New Roman" w:hAnsi="Times New Roman"/>
          <w:b/>
          <w:bCs/>
          <w:color w:val="auto"/>
          <w:sz w:val="24"/>
          <w:szCs w:val="24"/>
        </w:rPr>
        <w:lastRenderedPageBreak/>
        <w:t>Spis treści</w:t>
      </w:r>
    </w:p>
    <w:p w14:paraId="5CE5D020" w14:textId="68A68C51" w:rsidR="00257595" w:rsidRPr="00777F48" w:rsidRDefault="007C6965" w:rsidP="00257595">
      <w:pPr>
        <w:pStyle w:val="Spistreci1"/>
        <w:spacing w:line="360" w:lineRule="auto"/>
        <w:rPr>
          <w:rFonts w:ascii="Calibri" w:hAnsi="Calibri"/>
          <w:b w:val="0"/>
          <w:sz w:val="24"/>
          <w:szCs w:val="24"/>
        </w:rPr>
      </w:pPr>
      <w:r w:rsidRPr="00257595">
        <w:rPr>
          <w:sz w:val="24"/>
          <w:szCs w:val="24"/>
        </w:rPr>
        <w:fldChar w:fldCharType="begin"/>
      </w:r>
      <w:r w:rsidRPr="00257595">
        <w:rPr>
          <w:sz w:val="24"/>
          <w:szCs w:val="24"/>
        </w:rPr>
        <w:instrText xml:space="preserve"> TOC \o "1-3" \h \z \u </w:instrText>
      </w:r>
      <w:r w:rsidRPr="00257595">
        <w:rPr>
          <w:sz w:val="24"/>
          <w:szCs w:val="24"/>
        </w:rPr>
        <w:fldChar w:fldCharType="separate"/>
      </w:r>
      <w:hyperlink w:anchor="_Toc71277913" w:history="1">
        <w:r w:rsidR="00257595" w:rsidRPr="00257595">
          <w:rPr>
            <w:rStyle w:val="Hipercze"/>
            <w:sz w:val="24"/>
            <w:szCs w:val="24"/>
          </w:rPr>
          <w:t>Rozdział 1 Wprowadzenie</w:t>
        </w:r>
        <w:r w:rsidR="00257595" w:rsidRPr="00257595">
          <w:rPr>
            <w:webHidden/>
            <w:sz w:val="24"/>
            <w:szCs w:val="24"/>
          </w:rPr>
          <w:tab/>
        </w:r>
        <w:r w:rsidR="00257595" w:rsidRPr="00257595">
          <w:rPr>
            <w:webHidden/>
            <w:sz w:val="24"/>
            <w:szCs w:val="24"/>
          </w:rPr>
          <w:fldChar w:fldCharType="begin"/>
        </w:r>
        <w:r w:rsidR="00257595" w:rsidRPr="00257595">
          <w:rPr>
            <w:webHidden/>
            <w:sz w:val="24"/>
            <w:szCs w:val="24"/>
          </w:rPr>
          <w:instrText xml:space="preserve"> PAGEREF _Toc71277913 \h </w:instrText>
        </w:r>
        <w:r w:rsidR="00257595" w:rsidRPr="00257595">
          <w:rPr>
            <w:webHidden/>
            <w:sz w:val="24"/>
            <w:szCs w:val="24"/>
          </w:rPr>
        </w:r>
        <w:r w:rsidR="00257595" w:rsidRPr="00257595">
          <w:rPr>
            <w:webHidden/>
            <w:sz w:val="24"/>
            <w:szCs w:val="24"/>
          </w:rPr>
          <w:fldChar w:fldCharType="separate"/>
        </w:r>
        <w:r w:rsidR="005F1A89">
          <w:rPr>
            <w:webHidden/>
            <w:sz w:val="24"/>
            <w:szCs w:val="24"/>
          </w:rPr>
          <w:t>2</w:t>
        </w:r>
        <w:r w:rsidR="00257595" w:rsidRPr="00257595">
          <w:rPr>
            <w:webHidden/>
            <w:sz w:val="24"/>
            <w:szCs w:val="24"/>
          </w:rPr>
          <w:fldChar w:fldCharType="end"/>
        </w:r>
      </w:hyperlink>
    </w:p>
    <w:p w14:paraId="776E5621" w14:textId="5B11BFE0" w:rsidR="00257595" w:rsidRPr="00777F48" w:rsidRDefault="00AD690D" w:rsidP="00257595">
      <w:pPr>
        <w:pStyle w:val="Spistreci2"/>
        <w:tabs>
          <w:tab w:val="right" w:leader="dot" w:pos="9062"/>
        </w:tabs>
        <w:spacing w:line="360" w:lineRule="auto"/>
        <w:rPr>
          <w:rFonts w:ascii="Calibri" w:hAnsi="Calibri"/>
          <w:noProof/>
        </w:rPr>
      </w:pPr>
      <w:hyperlink w:anchor="_Toc71277914" w:history="1">
        <w:r w:rsidR="00257595" w:rsidRPr="00257595">
          <w:rPr>
            <w:rStyle w:val="Hipercze"/>
            <w:noProof/>
          </w:rPr>
          <w:t>Cel Polityki Ujawniania</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_Toc71277914 \h </w:instrText>
        </w:r>
        <w:r w:rsidR="00257595" w:rsidRPr="00257595">
          <w:rPr>
            <w:noProof/>
            <w:webHidden/>
          </w:rPr>
        </w:r>
        <w:r w:rsidR="00257595" w:rsidRPr="00257595">
          <w:rPr>
            <w:noProof/>
            <w:webHidden/>
          </w:rPr>
          <w:fldChar w:fldCharType="separate"/>
        </w:r>
        <w:r w:rsidR="005F1A89">
          <w:rPr>
            <w:noProof/>
            <w:webHidden/>
          </w:rPr>
          <w:t>2</w:t>
        </w:r>
        <w:r w:rsidR="00257595" w:rsidRPr="00257595">
          <w:rPr>
            <w:noProof/>
            <w:webHidden/>
          </w:rPr>
          <w:fldChar w:fldCharType="end"/>
        </w:r>
      </w:hyperlink>
    </w:p>
    <w:p w14:paraId="5EEB2F84" w14:textId="6776DEFC" w:rsidR="00257595" w:rsidRPr="00777F48" w:rsidRDefault="00AD690D" w:rsidP="00257595">
      <w:pPr>
        <w:pStyle w:val="Spistreci2"/>
        <w:tabs>
          <w:tab w:val="right" w:leader="dot" w:pos="9062"/>
        </w:tabs>
        <w:spacing w:line="360" w:lineRule="auto"/>
        <w:rPr>
          <w:rFonts w:ascii="Calibri" w:hAnsi="Calibri"/>
          <w:noProof/>
        </w:rPr>
      </w:pPr>
      <w:hyperlink w:anchor="_Toc71277915" w:history="1">
        <w:r w:rsidR="00257595" w:rsidRPr="00257595">
          <w:rPr>
            <w:rStyle w:val="Hipercze"/>
            <w:noProof/>
          </w:rPr>
          <w:t>Definicje</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_Toc71277915 \h </w:instrText>
        </w:r>
        <w:r w:rsidR="00257595" w:rsidRPr="00257595">
          <w:rPr>
            <w:noProof/>
            <w:webHidden/>
          </w:rPr>
        </w:r>
        <w:r w:rsidR="00257595" w:rsidRPr="00257595">
          <w:rPr>
            <w:noProof/>
            <w:webHidden/>
          </w:rPr>
          <w:fldChar w:fldCharType="separate"/>
        </w:r>
        <w:r w:rsidR="005F1A89">
          <w:rPr>
            <w:noProof/>
            <w:webHidden/>
          </w:rPr>
          <w:t>2</w:t>
        </w:r>
        <w:r w:rsidR="00257595" w:rsidRPr="00257595">
          <w:rPr>
            <w:noProof/>
            <w:webHidden/>
          </w:rPr>
          <w:fldChar w:fldCharType="end"/>
        </w:r>
      </w:hyperlink>
    </w:p>
    <w:p w14:paraId="7F8ABAC8" w14:textId="1217AD2C" w:rsidR="00257595" w:rsidRPr="00777F48" w:rsidRDefault="00AD690D" w:rsidP="00257595">
      <w:pPr>
        <w:pStyle w:val="Spistreci1"/>
        <w:spacing w:line="360" w:lineRule="auto"/>
        <w:rPr>
          <w:rFonts w:ascii="Calibri" w:hAnsi="Calibri"/>
          <w:b w:val="0"/>
          <w:sz w:val="24"/>
          <w:szCs w:val="24"/>
        </w:rPr>
      </w:pPr>
      <w:hyperlink w:anchor="_Toc71277916" w:history="1">
        <w:r w:rsidR="00257595" w:rsidRPr="00257595">
          <w:rPr>
            <w:rStyle w:val="Hipercze"/>
            <w:sz w:val="24"/>
            <w:szCs w:val="24"/>
          </w:rPr>
          <w:t>Rozdział 2 Zasady ujawniania</w:t>
        </w:r>
        <w:r w:rsidR="00257595" w:rsidRPr="00257595">
          <w:rPr>
            <w:webHidden/>
            <w:sz w:val="24"/>
            <w:szCs w:val="24"/>
          </w:rPr>
          <w:tab/>
        </w:r>
        <w:r w:rsidR="00257595" w:rsidRPr="00257595">
          <w:rPr>
            <w:webHidden/>
            <w:sz w:val="24"/>
            <w:szCs w:val="24"/>
          </w:rPr>
          <w:fldChar w:fldCharType="begin"/>
        </w:r>
        <w:r w:rsidR="00257595" w:rsidRPr="00257595">
          <w:rPr>
            <w:webHidden/>
            <w:sz w:val="24"/>
            <w:szCs w:val="24"/>
          </w:rPr>
          <w:instrText xml:space="preserve"> PAGEREF _Toc71277916 \h </w:instrText>
        </w:r>
        <w:r w:rsidR="00257595" w:rsidRPr="00257595">
          <w:rPr>
            <w:webHidden/>
            <w:sz w:val="24"/>
            <w:szCs w:val="24"/>
          </w:rPr>
        </w:r>
        <w:r w:rsidR="00257595" w:rsidRPr="00257595">
          <w:rPr>
            <w:webHidden/>
            <w:sz w:val="24"/>
            <w:szCs w:val="24"/>
          </w:rPr>
          <w:fldChar w:fldCharType="separate"/>
        </w:r>
        <w:r w:rsidR="005F1A89">
          <w:rPr>
            <w:webHidden/>
            <w:sz w:val="24"/>
            <w:szCs w:val="24"/>
          </w:rPr>
          <w:t>6</w:t>
        </w:r>
        <w:r w:rsidR="00257595" w:rsidRPr="00257595">
          <w:rPr>
            <w:webHidden/>
            <w:sz w:val="24"/>
            <w:szCs w:val="24"/>
          </w:rPr>
          <w:fldChar w:fldCharType="end"/>
        </w:r>
      </w:hyperlink>
    </w:p>
    <w:p w14:paraId="082C9713" w14:textId="133BD14C" w:rsidR="00257595" w:rsidRPr="00777F48" w:rsidRDefault="00AD690D" w:rsidP="00257595">
      <w:pPr>
        <w:pStyle w:val="Spistreci2"/>
        <w:tabs>
          <w:tab w:val="right" w:leader="dot" w:pos="9062"/>
        </w:tabs>
        <w:spacing w:line="360" w:lineRule="auto"/>
        <w:rPr>
          <w:rFonts w:ascii="Calibri" w:hAnsi="Calibri"/>
          <w:noProof/>
        </w:rPr>
      </w:pPr>
      <w:hyperlink w:anchor="_Toc71277917" w:history="1">
        <w:r w:rsidR="00257595" w:rsidRPr="00257595">
          <w:rPr>
            <w:rStyle w:val="Hipercze"/>
            <w:noProof/>
          </w:rPr>
          <w:t>Zakres ujawnianych informacji</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_Toc71277917 \h </w:instrText>
        </w:r>
        <w:r w:rsidR="00257595" w:rsidRPr="00257595">
          <w:rPr>
            <w:noProof/>
            <w:webHidden/>
          </w:rPr>
        </w:r>
        <w:r w:rsidR="00257595" w:rsidRPr="00257595">
          <w:rPr>
            <w:noProof/>
            <w:webHidden/>
          </w:rPr>
          <w:fldChar w:fldCharType="separate"/>
        </w:r>
        <w:r w:rsidR="005F1A89">
          <w:rPr>
            <w:noProof/>
            <w:webHidden/>
          </w:rPr>
          <w:t>6</w:t>
        </w:r>
        <w:r w:rsidR="00257595" w:rsidRPr="00257595">
          <w:rPr>
            <w:noProof/>
            <w:webHidden/>
          </w:rPr>
          <w:fldChar w:fldCharType="end"/>
        </w:r>
      </w:hyperlink>
    </w:p>
    <w:p w14:paraId="31AC76AA" w14:textId="0D9DB7F1" w:rsidR="00257595" w:rsidRPr="00777F48" w:rsidRDefault="00AD690D" w:rsidP="00257595">
      <w:pPr>
        <w:pStyle w:val="Spistreci2"/>
        <w:tabs>
          <w:tab w:val="right" w:leader="dot" w:pos="9062"/>
        </w:tabs>
        <w:spacing w:line="360" w:lineRule="auto"/>
        <w:rPr>
          <w:rFonts w:ascii="Calibri" w:hAnsi="Calibri"/>
          <w:noProof/>
        </w:rPr>
      </w:pPr>
      <w:hyperlink w:anchor="_Toc71277918" w:history="1">
        <w:r w:rsidR="00257595" w:rsidRPr="00257595">
          <w:rPr>
            <w:rStyle w:val="Hipercze"/>
            <w:noProof/>
          </w:rPr>
          <w:t>Informacje niepodlegające ujawnianiu</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_Toc71277918 \h </w:instrText>
        </w:r>
        <w:r w:rsidR="00257595" w:rsidRPr="00257595">
          <w:rPr>
            <w:noProof/>
            <w:webHidden/>
          </w:rPr>
        </w:r>
        <w:r w:rsidR="00257595" w:rsidRPr="00257595">
          <w:rPr>
            <w:noProof/>
            <w:webHidden/>
          </w:rPr>
          <w:fldChar w:fldCharType="separate"/>
        </w:r>
        <w:r w:rsidR="005F1A89">
          <w:rPr>
            <w:noProof/>
            <w:webHidden/>
          </w:rPr>
          <w:t>10</w:t>
        </w:r>
        <w:r w:rsidR="00257595" w:rsidRPr="00257595">
          <w:rPr>
            <w:noProof/>
            <w:webHidden/>
          </w:rPr>
          <w:fldChar w:fldCharType="end"/>
        </w:r>
      </w:hyperlink>
    </w:p>
    <w:p w14:paraId="40512B87" w14:textId="7148534E" w:rsidR="00257595" w:rsidRPr="00777F48" w:rsidRDefault="00AD690D" w:rsidP="00257595">
      <w:pPr>
        <w:pStyle w:val="Spistreci2"/>
        <w:tabs>
          <w:tab w:val="right" w:leader="dot" w:pos="9062"/>
        </w:tabs>
        <w:spacing w:line="360" w:lineRule="auto"/>
        <w:rPr>
          <w:rFonts w:ascii="Calibri" w:hAnsi="Calibri"/>
          <w:noProof/>
        </w:rPr>
      </w:pPr>
      <w:hyperlink w:anchor="_Toc71277919" w:history="1">
        <w:r w:rsidR="00257595" w:rsidRPr="00257595">
          <w:rPr>
            <w:rStyle w:val="Hipercze"/>
            <w:noProof/>
          </w:rPr>
          <w:t>Częstotliwość ujawniania informacji</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_Toc71277919 \h </w:instrText>
        </w:r>
        <w:r w:rsidR="00257595" w:rsidRPr="00257595">
          <w:rPr>
            <w:noProof/>
            <w:webHidden/>
          </w:rPr>
        </w:r>
        <w:r w:rsidR="00257595" w:rsidRPr="00257595">
          <w:rPr>
            <w:noProof/>
            <w:webHidden/>
          </w:rPr>
          <w:fldChar w:fldCharType="separate"/>
        </w:r>
        <w:r w:rsidR="005F1A89">
          <w:rPr>
            <w:noProof/>
            <w:webHidden/>
          </w:rPr>
          <w:t>11</w:t>
        </w:r>
        <w:r w:rsidR="00257595" w:rsidRPr="00257595">
          <w:rPr>
            <w:noProof/>
            <w:webHidden/>
          </w:rPr>
          <w:fldChar w:fldCharType="end"/>
        </w:r>
      </w:hyperlink>
    </w:p>
    <w:p w14:paraId="04FFB6BC" w14:textId="308ACE61" w:rsidR="00257595" w:rsidRPr="00777F48" w:rsidRDefault="00AD690D" w:rsidP="00257595">
      <w:pPr>
        <w:pStyle w:val="Spistreci2"/>
        <w:tabs>
          <w:tab w:val="right" w:leader="dot" w:pos="9062"/>
        </w:tabs>
        <w:spacing w:line="360" w:lineRule="auto"/>
        <w:rPr>
          <w:rFonts w:ascii="Calibri" w:hAnsi="Calibri"/>
          <w:noProof/>
        </w:rPr>
      </w:pPr>
      <w:hyperlink w:anchor="_Toc71277920" w:history="1">
        <w:r w:rsidR="00257595" w:rsidRPr="00257595">
          <w:rPr>
            <w:rStyle w:val="Hipercze"/>
            <w:noProof/>
          </w:rPr>
          <w:t>Miejsce i forma ujawniania informacji</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_Toc71277920 \h </w:instrText>
        </w:r>
        <w:r w:rsidR="00257595" w:rsidRPr="00257595">
          <w:rPr>
            <w:noProof/>
            <w:webHidden/>
          </w:rPr>
        </w:r>
        <w:r w:rsidR="00257595" w:rsidRPr="00257595">
          <w:rPr>
            <w:noProof/>
            <w:webHidden/>
          </w:rPr>
          <w:fldChar w:fldCharType="separate"/>
        </w:r>
        <w:r w:rsidR="005F1A89">
          <w:rPr>
            <w:noProof/>
            <w:webHidden/>
          </w:rPr>
          <w:t>12</w:t>
        </w:r>
        <w:r w:rsidR="00257595" w:rsidRPr="00257595">
          <w:rPr>
            <w:noProof/>
            <w:webHidden/>
          </w:rPr>
          <w:fldChar w:fldCharType="end"/>
        </w:r>
      </w:hyperlink>
    </w:p>
    <w:p w14:paraId="6111F1DB" w14:textId="32DE30BE" w:rsidR="00257595" w:rsidRPr="00777F48" w:rsidRDefault="00AD690D" w:rsidP="00257595">
      <w:pPr>
        <w:pStyle w:val="Spistreci2"/>
        <w:tabs>
          <w:tab w:val="right" w:leader="dot" w:pos="9062"/>
        </w:tabs>
        <w:spacing w:line="360" w:lineRule="auto"/>
        <w:rPr>
          <w:rFonts w:ascii="Calibri" w:hAnsi="Calibri"/>
          <w:noProof/>
        </w:rPr>
      </w:pPr>
      <w:hyperlink w:anchor="_Toc71277921" w:history="1">
        <w:r w:rsidR="00257595" w:rsidRPr="00257595">
          <w:rPr>
            <w:rStyle w:val="Hipercze"/>
            <w:noProof/>
          </w:rPr>
          <w:t>Zatwierdzanie i weryfikacja ujawnianych informacji</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_Toc71277921 \h </w:instrText>
        </w:r>
        <w:r w:rsidR="00257595" w:rsidRPr="00257595">
          <w:rPr>
            <w:noProof/>
            <w:webHidden/>
          </w:rPr>
        </w:r>
        <w:r w:rsidR="00257595" w:rsidRPr="00257595">
          <w:rPr>
            <w:noProof/>
            <w:webHidden/>
          </w:rPr>
          <w:fldChar w:fldCharType="separate"/>
        </w:r>
        <w:r w:rsidR="005F1A89">
          <w:rPr>
            <w:noProof/>
            <w:webHidden/>
          </w:rPr>
          <w:t>12</w:t>
        </w:r>
        <w:r w:rsidR="00257595" w:rsidRPr="00257595">
          <w:rPr>
            <w:noProof/>
            <w:webHidden/>
          </w:rPr>
          <w:fldChar w:fldCharType="end"/>
        </w:r>
      </w:hyperlink>
    </w:p>
    <w:p w14:paraId="08785B2B" w14:textId="22487436" w:rsidR="00257595" w:rsidRPr="00777F48" w:rsidRDefault="00AD690D" w:rsidP="00257595">
      <w:pPr>
        <w:pStyle w:val="Spistreci1"/>
        <w:spacing w:line="360" w:lineRule="auto"/>
        <w:rPr>
          <w:rFonts w:ascii="Calibri" w:hAnsi="Calibri"/>
          <w:b w:val="0"/>
          <w:sz w:val="24"/>
          <w:szCs w:val="24"/>
        </w:rPr>
      </w:pPr>
      <w:hyperlink w:anchor="_Toc71277922" w:history="1">
        <w:r w:rsidR="00257595" w:rsidRPr="00257595">
          <w:rPr>
            <w:rStyle w:val="Hipercze"/>
            <w:sz w:val="24"/>
            <w:szCs w:val="24"/>
          </w:rPr>
          <w:t>Rozdział 3 Zasady uchwalania, zmiany, weryfikacji i realizacji Polityki Ujawniania</w:t>
        </w:r>
        <w:r w:rsidR="00257595" w:rsidRPr="00257595">
          <w:rPr>
            <w:rStyle w:val="Hipercze"/>
            <w:webHidden/>
            <w:sz w:val="24"/>
            <w:szCs w:val="24"/>
          </w:rPr>
          <w:tab/>
        </w:r>
        <w:r w:rsidR="00257595" w:rsidRPr="00257595">
          <w:rPr>
            <w:rStyle w:val="Hipercze"/>
            <w:webHidden/>
            <w:sz w:val="24"/>
            <w:szCs w:val="24"/>
          </w:rPr>
          <w:fldChar w:fldCharType="begin"/>
        </w:r>
        <w:r w:rsidR="00257595" w:rsidRPr="00257595">
          <w:rPr>
            <w:rStyle w:val="Hipercze"/>
            <w:webHidden/>
            <w:sz w:val="24"/>
            <w:szCs w:val="24"/>
          </w:rPr>
          <w:instrText xml:space="preserve"> PAGEREF _Toc71277922 \h </w:instrText>
        </w:r>
        <w:r w:rsidR="00257595" w:rsidRPr="00257595">
          <w:rPr>
            <w:rStyle w:val="Hipercze"/>
            <w:webHidden/>
            <w:sz w:val="24"/>
            <w:szCs w:val="24"/>
          </w:rPr>
        </w:r>
        <w:r w:rsidR="00257595" w:rsidRPr="00257595">
          <w:rPr>
            <w:rStyle w:val="Hipercze"/>
            <w:webHidden/>
            <w:sz w:val="24"/>
            <w:szCs w:val="24"/>
          </w:rPr>
          <w:fldChar w:fldCharType="separate"/>
        </w:r>
        <w:r w:rsidR="005F1A89">
          <w:rPr>
            <w:rStyle w:val="Hipercze"/>
            <w:webHidden/>
            <w:sz w:val="24"/>
            <w:szCs w:val="24"/>
          </w:rPr>
          <w:t>13</w:t>
        </w:r>
        <w:r w:rsidR="00257595" w:rsidRPr="00257595">
          <w:rPr>
            <w:rStyle w:val="Hipercze"/>
            <w:webHidden/>
            <w:sz w:val="24"/>
            <w:szCs w:val="24"/>
          </w:rPr>
          <w:fldChar w:fldCharType="end"/>
        </w:r>
      </w:hyperlink>
    </w:p>
    <w:p w14:paraId="0C4E36B9" w14:textId="7AEE9BBD" w:rsidR="00257595" w:rsidRPr="00777F48" w:rsidRDefault="00AD690D" w:rsidP="00257595">
      <w:pPr>
        <w:pStyle w:val="Spistreci2"/>
        <w:tabs>
          <w:tab w:val="right" w:leader="dot" w:pos="9062"/>
        </w:tabs>
        <w:spacing w:line="360" w:lineRule="auto"/>
        <w:rPr>
          <w:rFonts w:ascii="Calibri" w:hAnsi="Calibri"/>
          <w:noProof/>
        </w:rPr>
      </w:pPr>
      <w:hyperlink w:anchor="_Toc71277923" w:history="1">
        <w:r w:rsidR="00257595" w:rsidRPr="00257595">
          <w:rPr>
            <w:rStyle w:val="Hipercze"/>
            <w:noProof/>
          </w:rPr>
          <w:t>Uchwalanie i zmiana Polityki Ujawniania</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_Toc71277923 \h </w:instrText>
        </w:r>
        <w:r w:rsidR="00257595" w:rsidRPr="00257595">
          <w:rPr>
            <w:noProof/>
            <w:webHidden/>
          </w:rPr>
        </w:r>
        <w:r w:rsidR="00257595" w:rsidRPr="00257595">
          <w:rPr>
            <w:noProof/>
            <w:webHidden/>
          </w:rPr>
          <w:fldChar w:fldCharType="separate"/>
        </w:r>
        <w:r w:rsidR="005F1A89">
          <w:rPr>
            <w:noProof/>
            <w:webHidden/>
          </w:rPr>
          <w:t>13</w:t>
        </w:r>
        <w:r w:rsidR="00257595" w:rsidRPr="00257595">
          <w:rPr>
            <w:noProof/>
            <w:webHidden/>
          </w:rPr>
          <w:fldChar w:fldCharType="end"/>
        </w:r>
      </w:hyperlink>
    </w:p>
    <w:p w14:paraId="2F96103B" w14:textId="20CFE416" w:rsidR="00257595" w:rsidRPr="00777F48" w:rsidRDefault="00AD690D" w:rsidP="00257595">
      <w:pPr>
        <w:pStyle w:val="Spistreci2"/>
        <w:tabs>
          <w:tab w:val="right" w:leader="dot" w:pos="9062"/>
        </w:tabs>
        <w:spacing w:line="360" w:lineRule="auto"/>
        <w:rPr>
          <w:rFonts w:ascii="Calibri" w:hAnsi="Calibri"/>
          <w:noProof/>
        </w:rPr>
      </w:pPr>
      <w:hyperlink w:anchor="_Toc71277924" w:history="1">
        <w:r w:rsidR="00257595" w:rsidRPr="00257595">
          <w:rPr>
            <w:rStyle w:val="Hipercze"/>
            <w:noProof/>
          </w:rPr>
          <w:t>Weryfikacja Polityki Ujawniania</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_Toc71277924 \h </w:instrText>
        </w:r>
        <w:r w:rsidR="00257595" w:rsidRPr="00257595">
          <w:rPr>
            <w:noProof/>
            <w:webHidden/>
          </w:rPr>
        </w:r>
        <w:r w:rsidR="00257595" w:rsidRPr="00257595">
          <w:rPr>
            <w:noProof/>
            <w:webHidden/>
          </w:rPr>
          <w:fldChar w:fldCharType="separate"/>
        </w:r>
        <w:r w:rsidR="005F1A89">
          <w:rPr>
            <w:noProof/>
            <w:webHidden/>
          </w:rPr>
          <w:t>13</w:t>
        </w:r>
        <w:r w:rsidR="00257595" w:rsidRPr="00257595">
          <w:rPr>
            <w:noProof/>
            <w:webHidden/>
          </w:rPr>
          <w:fldChar w:fldCharType="end"/>
        </w:r>
      </w:hyperlink>
    </w:p>
    <w:p w14:paraId="2AF963AD" w14:textId="6F3773E7" w:rsidR="00257595" w:rsidRPr="00777F48" w:rsidRDefault="00AD690D" w:rsidP="00257595">
      <w:pPr>
        <w:pStyle w:val="Spistreci2"/>
        <w:tabs>
          <w:tab w:val="right" w:leader="dot" w:pos="9062"/>
        </w:tabs>
        <w:spacing w:line="360" w:lineRule="auto"/>
        <w:rPr>
          <w:rFonts w:ascii="Calibri" w:hAnsi="Calibri"/>
          <w:noProof/>
        </w:rPr>
      </w:pPr>
      <w:hyperlink w:anchor="_Toc71277925" w:history="1">
        <w:r w:rsidR="00257595" w:rsidRPr="00257595">
          <w:rPr>
            <w:rStyle w:val="Hipercze"/>
            <w:noProof/>
          </w:rPr>
          <w:t>Podmioty odpowiedzialne za realizację Polityki Ujawniania</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_Toc71277925 \h </w:instrText>
        </w:r>
        <w:r w:rsidR="00257595" w:rsidRPr="00257595">
          <w:rPr>
            <w:noProof/>
            <w:webHidden/>
          </w:rPr>
        </w:r>
        <w:r w:rsidR="00257595" w:rsidRPr="00257595">
          <w:rPr>
            <w:noProof/>
            <w:webHidden/>
          </w:rPr>
          <w:fldChar w:fldCharType="separate"/>
        </w:r>
        <w:r w:rsidR="005F1A89">
          <w:rPr>
            <w:noProof/>
            <w:webHidden/>
          </w:rPr>
          <w:t>14</w:t>
        </w:r>
        <w:r w:rsidR="00257595" w:rsidRPr="00257595">
          <w:rPr>
            <w:noProof/>
            <w:webHidden/>
          </w:rPr>
          <w:fldChar w:fldCharType="end"/>
        </w:r>
      </w:hyperlink>
    </w:p>
    <w:p w14:paraId="3C71BF30" w14:textId="7FE21539" w:rsidR="00257595" w:rsidRPr="00777F48" w:rsidRDefault="00AD690D" w:rsidP="00257595">
      <w:pPr>
        <w:pStyle w:val="Spistreci2"/>
        <w:tabs>
          <w:tab w:val="right" w:leader="dot" w:pos="9062"/>
        </w:tabs>
        <w:spacing w:line="360" w:lineRule="auto"/>
        <w:rPr>
          <w:rFonts w:ascii="Calibri" w:hAnsi="Calibri"/>
          <w:noProof/>
        </w:rPr>
      </w:pPr>
      <w:hyperlink w:anchor="_Toc71277926" w:history="1">
        <w:r w:rsidR="00257595" w:rsidRPr="00257595">
          <w:rPr>
            <w:rStyle w:val="Hipercze"/>
            <w:noProof/>
          </w:rPr>
          <w:t>Funkcja Spółdzielczego Systemu Ochrony</w:t>
        </w:r>
        <w:r w:rsidR="00257595" w:rsidRPr="00257595">
          <w:rPr>
            <w:noProof/>
            <w:webHidden/>
          </w:rPr>
          <w:tab/>
        </w:r>
        <w:r w:rsidR="00257595" w:rsidRPr="00257595">
          <w:rPr>
            <w:noProof/>
            <w:webHidden/>
          </w:rPr>
          <w:fldChar w:fldCharType="begin"/>
        </w:r>
        <w:r w:rsidR="00257595" w:rsidRPr="00257595">
          <w:rPr>
            <w:noProof/>
            <w:webHidden/>
          </w:rPr>
          <w:instrText xml:space="preserve"> PAGEREF _Toc71277926 \h </w:instrText>
        </w:r>
        <w:r w:rsidR="00257595" w:rsidRPr="00257595">
          <w:rPr>
            <w:noProof/>
            <w:webHidden/>
          </w:rPr>
        </w:r>
        <w:r w:rsidR="00257595" w:rsidRPr="00257595">
          <w:rPr>
            <w:noProof/>
            <w:webHidden/>
          </w:rPr>
          <w:fldChar w:fldCharType="separate"/>
        </w:r>
        <w:r w:rsidR="005F1A89">
          <w:rPr>
            <w:noProof/>
            <w:webHidden/>
          </w:rPr>
          <w:t>16</w:t>
        </w:r>
        <w:r w:rsidR="00257595" w:rsidRPr="00257595">
          <w:rPr>
            <w:noProof/>
            <w:webHidden/>
          </w:rPr>
          <w:fldChar w:fldCharType="end"/>
        </w:r>
      </w:hyperlink>
    </w:p>
    <w:p w14:paraId="72C05805" w14:textId="77777777" w:rsidR="007C6965" w:rsidRDefault="007C6965" w:rsidP="00257595">
      <w:pPr>
        <w:spacing w:line="360" w:lineRule="auto"/>
        <w:jc w:val="both"/>
      </w:pPr>
      <w:r w:rsidRPr="00257595">
        <w:rPr>
          <w:b/>
          <w:bCs/>
        </w:rPr>
        <w:fldChar w:fldCharType="end"/>
      </w:r>
    </w:p>
    <w:p w14:paraId="57FDB1E0" w14:textId="77777777" w:rsidR="00BF02EC" w:rsidRPr="007C6965" w:rsidRDefault="00F22A23" w:rsidP="007C6965">
      <w:pPr>
        <w:pStyle w:val="Nagwek1"/>
      </w:pPr>
      <w:r>
        <w:br w:type="page"/>
      </w:r>
      <w:bookmarkStart w:id="2" w:name="_Toc71277913"/>
      <w:r w:rsidR="00A167AA" w:rsidRPr="007C6965">
        <w:lastRenderedPageBreak/>
        <w:t>Rozdział 1</w:t>
      </w:r>
      <w:bookmarkEnd w:id="2"/>
    </w:p>
    <w:p w14:paraId="3A9DB42B" w14:textId="77777777" w:rsidR="00A167AA" w:rsidRPr="0004137A" w:rsidRDefault="00A167AA" w:rsidP="006376DA">
      <w:pPr>
        <w:spacing w:after="240"/>
        <w:jc w:val="center"/>
        <w:rPr>
          <w:b/>
          <w:bCs/>
          <w:sz w:val="28"/>
          <w:szCs w:val="28"/>
        </w:rPr>
      </w:pPr>
      <w:r w:rsidRPr="0004137A">
        <w:rPr>
          <w:b/>
          <w:bCs/>
          <w:sz w:val="28"/>
          <w:szCs w:val="28"/>
        </w:rPr>
        <w:t>Wprowadzenie</w:t>
      </w:r>
      <w:bookmarkEnd w:id="0"/>
    </w:p>
    <w:p w14:paraId="4F15AEA3" w14:textId="77777777" w:rsidR="008B73E6" w:rsidRPr="0004137A" w:rsidRDefault="00F60576" w:rsidP="00E61B05">
      <w:pPr>
        <w:jc w:val="center"/>
        <w:rPr>
          <w:b/>
          <w:bCs/>
        </w:rPr>
      </w:pPr>
      <w:r w:rsidRPr="00F60576">
        <w:rPr>
          <w:b/>
          <w:bCs/>
        </w:rPr>
        <w:t>§</w:t>
      </w:r>
      <w:r>
        <w:rPr>
          <w:b/>
          <w:bCs/>
        </w:rPr>
        <w:t xml:space="preserve"> 1</w:t>
      </w:r>
    </w:p>
    <w:p w14:paraId="0DD974F7" w14:textId="77777777" w:rsidR="00036F64" w:rsidRPr="0004137A" w:rsidRDefault="00E9223F" w:rsidP="003830CA">
      <w:pPr>
        <w:pStyle w:val="Nagwek2"/>
        <w:spacing w:after="360"/>
      </w:pPr>
      <w:bookmarkStart w:id="3" w:name="_Toc71277914"/>
      <w:r w:rsidRPr="007C6965">
        <w:t>Cel</w:t>
      </w:r>
      <w:r w:rsidR="007C6965" w:rsidRPr="007C6965">
        <w:t xml:space="preserve"> Polityki Ujawniania</w:t>
      </w:r>
      <w:bookmarkEnd w:id="3"/>
    </w:p>
    <w:p w14:paraId="6A68E1B9" w14:textId="77777777" w:rsidR="00F40152" w:rsidRPr="0004137A" w:rsidRDefault="00E9223F" w:rsidP="00F40152">
      <w:pPr>
        <w:spacing w:line="360" w:lineRule="auto"/>
        <w:jc w:val="both"/>
      </w:pPr>
      <w:r w:rsidRPr="0004137A">
        <w:t xml:space="preserve">Niniejsza „Polityka ujawniania w zakresie </w:t>
      </w:r>
      <w:r w:rsidR="00D05103">
        <w:t xml:space="preserve">profilu ryzyka i </w:t>
      </w:r>
      <w:r w:rsidRPr="0004137A">
        <w:t xml:space="preserve">adekwatności kapitałowej oraz innych informacji podlegających obowiązkowi ogłaszania” (dalej: „Polityka Ujawniania”) zapewnia </w:t>
      </w:r>
      <w:r w:rsidR="00036F64" w:rsidRPr="0004137A">
        <w:t>realizację</w:t>
      </w:r>
      <w:r w:rsidRPr="0004137A">
        <w:t xml:space="preserve"> wymogów dotyczących ujawniania informacji na mocy CRR oraz innych informacji podlegających obowiązkowi ujawnienia w celu dostarczenia uczestnikom rynku kompleksowego obrazu profilu ryzyka Banku, a także prezentuje strategię Banku </w:t>
      </w:r>
      <w:r w:rsidR="00FC6EBB">
        <w:br/>
      </w:r>
      <w:r w:rsidRPr="0004137A">
        <w:t xml:space="preserve">w odniesieniu do oceny adekwatności ujawnianych informacji, w tym ich weryfikacji </w:t>
      </w:r>
      <w:r w:rsidR="00FC6EBB">
        <w:br/>
      </w:r>
      <w:r w:rsidRPr="0004137A">
        <w:t xml:space="preserve">i częstotliwości. W tym celu Polityka Ujawniania określa zasady odnoszące się do zakresu, częstotliwości, miejsca i formy ujawniania, sposobu zatwierdzania </w:t>
      </w:r>
      <w:r w:rsidR="00115A23">
        <w:t>oraz</w:t>
      </w:r>
      <w:r w:rsidRPr="0004137A">
        <w:t xml:space="preserve"> weryfikacji ujawnianych informacji</w:t>
      </w:r>
      <w:r w:rsidR="00AF02F5" w:rsidRPr="0004137A">
        <w:t xml:space="preserve">. </w:t>
      </w:r>
    </w:p>
    <w:p w14:paraId="54A866AC" w14:textId="77777777" w:rsidR="00E9223F" w:rsidRDefault="00E9223F" w:rsidP="00A55435">
      <w:pPr>
        <w:spacing w:line="276" w:lineRule="auto"/>
      </w:pPr>
    </w:p>
    <w:p w14:paraId="5B77C6F9" w14:textId="77777777" w:rsidR="00F60576" w:rsidRPr="0004137A" w:rsidRDefault="00F60576" w:rsidP="00F60576">
      <w:pPr>
        <w:spacing w:line="276" w:lineRule="auto"/>
        <w:jc w:val="center"/>
      </w:pPr>
      <w:r w:rsidRPr="00F60576">
        <w:rPr>
          <w:b/>
          <w:bCs/>
        </w:rPr>
        <w:t>§</w:t>
      </w:r>
      <w:r>
        <w:rPr>
          <w:b/>
          <w:bCs/>
        </w:rPr>
        <w:t xml:space="preserve"> 2</w:t>
      </w:r>
    </w:p>
    <w:p w14:paraId="1D192D47" w14:textId="77777777" w:rsidR="006C322A" w:rsidRPr="003830CA" w:rsidRDefault="006C322A" w:rsidP="003830CA">
      <w:pPr>
        <w:pStyle w:val="Nagwek2"/>
        <w:spacing w:after="360"/>
      </w:pPr>
      <w:bookmarkStart w:id="4" w:name="_Toc71277915"/>
      <w:r w:rsidRPr="0004137A">
        <w:t>Definicje</w:t>
      </w:r>
      <w:bookmarkEnd w:id="4"/>
    </w:p>
    <w:p w14:paraId="69EAC911" w14:textId="77777777" w:rsidR="006C322A" w:rsidRPr="0004137A" w:rsidRDefault="006C322A" w:rsidP="00A55435">
      <w:pPr>
        <w:pStyle w:val="Tekstpodstawowy"/>
        <w:spacing w:line="276" w:lineRule="auto"/>
        <w:rPr>
          <w:position w:val="0"/>
        </w:rPr>
      </w:pPr>
      <w:r w:rsidRPr="0004137A">
        <w:rPr>
          <w:position w:val="0"/>
        </w:rPr>
        <w:t xml:space="preserve">Ilekroć w Polityce </w:t>
      </w:r>
      <w:r w:rsidR="00F40152" w:rsidRPr="0004137A">
        <w:rPr>
          <w:position w:val="0"/>
          <w:lang w:val="pl-PL"/>
        </w:rPr>
        <w:t>Ujawniania</w:t>
      </w:r>
      <w:r w:rsidRPr="0004137A">
        <w:rPr>
          <w:position w:val="0"/>
        </w:rPr>
        <w:t xml:space="preserve"> użyte zostały poniższe wyrażenia, mają one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52"/>
      </w:tblGrid>
      <w:tr w:rsidR="00F40152" w:rsidRPr="0004137A" w14:paraId="54E24D3B" w14:textId="77777777" w:rsidTr="00267F05">
        <w:trPr>
          <w:jc w:val="center"/>
        </w:trPr>
        <w:tc>
          <w:tcPr>
            <w:tcW w:w="2338" w:type="dxa"/>
            <w:shd w:val="clear" w:color="auto" w:fill="auto"/>
            <w:vAlign w:val="center"/>
          </w:tcPr>
          <w:p w14:paraId="6F308DEE" w14:textId="77777777" w:rsidR="00F40152" w:rsidRPr="00267F05" w:rsidRDefault="00F40152" w:rsidP="00267F05">
            <w:pPr>
              <w:pStyle w:val="Tekstpodstawowy"/>
              <w:spacing w:line="276" w:lineRule="auto"/>
              <w:jc w:val="center"/>
              <w:rPr>
                <w:position w:val="0"/>
              </w:rPr>
            </w:pPr>
            <w:r w:rsidRPr="00267F05">
              <w:rPr>
                <w:b/>
                <w:bCs/>
                <w:position w:val="0"/>
                <w:lang w:val="pl-PL"/>
              </w:rPr>
              <w:t>I</w:t>
            </w:r>
            <w:r w:rsidRPr="00267F05">
              <w:rPr>
                <w:b/>
                <w:bCs/>
                <w:position w:val="0"/>
              </w:rPr>
              <w:t xml:space="preserve">nformacja </w:t>
            </w:r>
            <w:r w:rsidRPr="00267F05">
              <w:rPr>
                <w:b/>
                <w:bCs/>
                <w:position w:val="0"/>
                <w:lang w:val="pl-PL"/>
              </w:rPr>
              <w:t>I</w:t>
            </w:r>
            <w:r w:rsidRPr="00267F05">
              <w:rPr>
                <w:b/>
                <w:bCs/>
                <w:position w:val="0"/>
              </w:rPr>
              <w:t>stotna</w:t>
            </w:r>
          </w:p>
        </w:tc>
        <w:tc>
          <w:tcPr>
            <w:tcW w:w="6874" w:type="dxa"/>
            <w:shd w:val="clear" w:color="auto" w:fill="auto"/>
          </w:tcPr>
          <w:p w14:paraId="34C1CDDC" w14:textId="77777777" w:rsidR="003A4C46" w:rsidRDefault="00F40152" w:rsidP="00267F05">
            <w:pPr>
              <w:pStyle w:val="Tekstpodstawowy"/>
              <w:spacing w:line="360" w:lineRule="auto"/>
              <w:rPr>
                <w:position w:val="0"/>
                <w:lang w:val="pl-PL"/>
              </w:rPr>
            </w:pPr>
            <w:r w:rsidRPr="00267F05">
              <w:rPr>
                <w:position w:val="0"/>
                <w:lang w:val="pl-PL"/>
              </w:rPr>
              <w:t>I</w:t>
            </w:r>
            <w:r w:rsidRPr="00267F05">
              <w:rPr>
                <w:position w:val="0"/>
              </w:rPr>
              <w:t xml:space="preserve">nformacja, której pominięcie lub </w:t>
            </w:r>
            <w:r w:rsidRPr="00267F05">
              <w:rPr>
                <w:position w:val="0"/>
                <w:lang w:val="pl-PL"/>
              </w:rPr>
              <w:t xml:space="preserve">błędne przedstawienie </w:t>
            </w:r>
            <w:r w:rsidRPr="00267F05">
              <w:rPr>
                <w:position w:val="0"/>
              </w:rPr>
              <w:t xml:space="preserve">może zmienić lub wpłynąć na ocenę lub decyzję </w:t>
            </w:r>
            <w:r w:rsidRPr="00267F05">
              <w:rPr>
                <w:position w:val="0"/>
                <w:lang w:val="pl-PL"/>
              </w:rPr>
              <w:t>użytkownika tej informacji, który opiera się na niej na potrzeby podjęcia decyzji ekonomicznej - w tym zakresie Bank ocenia kryterium istotności zgodnie z Wytyczny</w:t>
            </w:r>
            <w:r w:rsidR="00910C61">
              <w:rPr>
                <w:position w:val="0"/>
                <w:lang w:val="pl-PL"/>
              </w:rPr>
              <w:t>mi</w:t>
            </w:r>
            <w:r w:rsidRPr="00267F05">
              <w:rPr>
                <w:position w:val="0"/>
                <w:lang w:val="pl-PL"/>
              </w:rPr>
              <w:t xml:space="preserve"> EUNB 2014/14</w:t>
            </w:r>
            <w:r w:rsidR="003A4C46">
              <w:rPr>
                <w:position w:val="0"/>
                <w:lang w:val="pl-PL"/>
              </w:rPr>
              <w:t>, w szczególności</w:t>
            </w:r>
            <w:r w:rsidR="005E358F">
              <w:rPr>
                <w:position w:val="0"/>
                <w:lang w:val="pl-PL"/>
              </w:rPr>
              <w:t xml:space="preserve"> uwzględniając</w:t>
            </w:r>
            <w:r w:rsidR="00082A13">
              <w:rPr>
                <w:position w:val="0"/>
                <w:lang w:val="pl-PL"/>
              </w:rPr>
              <w:t>:</w:t>
            </w:r>
          </w:p>
          <w:p w14:paraId="0A034811" w14:textId="77777777" w:rsidR="00082A13" w:rsidRDefault="00082A13" w:rsidP="00082A13">
            <w:pPr>
              <w:pStyle w:val="Tekstpodstawowy"/>
              <w:numPr>
                <w:ilvl w:val="0"/>
                <w:numId w:val="20"/>
              </w:numPr>
              <w:spacing w:line="360" w:lineRule="auto"/>
              <w:rPr>
                <w:position w:val="0"/>
                <w:lang w:val="pl-PL"/>
              </w:rPr>
            </w:pPr>
            <w:r>
              <w:rPr>
                <w:position w:val="0"/>
                <w:lang w:val="pl-PL"/>
              </w:rPr>
              <w:t>dokonywan</w:t>
            </w:r>
            <w:r w:rsidR="005E358F">
              <w:rPr>
                <w:position w:val="0"/>
                <w:lang w:val="pl-PL"/>
              </w:rPr>
              <w:t>ie</w:t>
            </w:r>
            <w:r>
              <w:rPr>
                <w:position w:val="0"/>
                <w:lang w:val="pl-PL"/>
              </w:rPr>
              <w:t xml:space="preserve"> </w:t>
            </w:r>
            <w:r w:rsidR="005E358F">
              <w:rPr>
                <w:position w:val="0"/>
                <w:lang w:val="pl-PL"/>
              </w:rPr>
              <w:t xml:space="preserve">oceny </w:t>
            </w:r>
            <w:r>
              <w:rPr>
                <w:position w:val="0"/>
                <w:lang w:val="pl-PL"/>
              </w:rPr>
              <w:t>regularnie i co najmniej raz w roku</w:t>
            </w:r>
            <w:r w:rsidR="00923355">
              <w:rPr>
                <w:position w:val="0"/>
                <w:lang w:val="pl-PL"/>
              </w:rPr>
              <w:t>;</w:t>
            </w:r>
          </w:p>
          <w:p w14:paraId="3AF0712B" w14:textId="747FC6C2" w:rsidR="00082A13" w:rsidRDefault="00082A13" w:rsidP="00082A13">
            <w:pPr>
              <w:pStyle w:val="Tekstpodstawowy"/>
              <w:numPr>
                <w:ilvl w:val="0"/>
                <w:numId w:val="20"/>
              </w:numPr>
              <w:spacing w:line="360" w:lineRule="auto"/>
              <w:rPr>
                <w:position w:val="0"/>
                <w:lang w:val="pl-PL"/>
              </w:rPr>
            </w:pPr>
            <w:r>
              <w:rPr>
                <w:position w:val="0"/>
                <w:lang w:val="pl-PL"/>
              </w:rPr>
              <w:t>dokonywan</w:t>
            </w:r>
            <w:r w:rsidR="005E358F">
              <w:rPr>
                <w:position w:val="0"/>
                <w:lang w:val="pl-PL"/>
              </w:rPr>
              <w:t>ie</w:t>
            </w:r>
            <w:r>
              <w:rPr>
                <w:position w:val="0"/>
                <w:lang w:val="pl-PL"/>
              </w:rPr>
              <w:t xml:space="preserve"> </w:t>
            </w:r>
            <w:r w:rsidR="005E358F">
              <w:rPr>
                <w:position w:val="0"/>
                <w:lang w:val="pl-PL"/>
              </w:rPr>
              <w:t xml:space="preserve">oceny </w:t>
            </w:r>
            <w:r>
              <w:rPr>
                <w:position w:val="0"/>
                <w:lang w:val="pl-PL"/>
              </w:rPr>
              <w:t xml:space="preserve">pod kątem jakościowych jak </w:t>
            </w:r>
            <w:r w:rsidR="00FC6EBB">
              <w:rPr>
                <w:position w:val="0"/>
                <w:lang w:val="pl-PL"/>
              </w:rPr>
              <w:br/>
            </w:r>
            <w:r>
              <w:rPr>
                <w:position w:val="0"/>
                <w:lang w:val="pl-PL"/>
              </w:rPr>
              <w:t>i ilościowych wymogów dotyczących ujawniania</w:t>
            </w:r>
            <w:r w:rsidR="00923355">
              <w:rPr>
                <w:position w:val="0"/>
                <w:lang w:val="pl-PL"/>
              </w:rPr>
              <w:t>;</w:t>
            </w:r>
          </w:p>
          <w:p w14:paraId="353252EB" w14:textId="77777777" w:rsidR="00082A13" w:rsidRDefault="00082A13" w:rsidP="00082A13">
            <w:pPr>
              <w:pStyle w:val="Tekstpodstawowy"/>
              <w:numPr>
                <w:ilvl w:val="0"/>
                <w:numId w:val="20"/>
              </w:numPr>
              <w:spacing w:line="360" w:lineRule="auto"/>
              <w:rPr>
                <w:position w:val="0"/>
                <w:lang w:val="pl-PL"/>
              </w:rPr>
            </w:pPr>
            <w:r>
              <w:rPr>
                <w:position w:val="0"/>
                <w:lang w:val="pl-PL"/>
              </w:rPr>
              <w:t>dokonywan</w:t>
            </w:r>
            <w:r w:rsidR="005E358F">
              <w:rPr>
                <w:position w:val="0"/>
                <w:lang w:val="pl-PL"/>
              </w:rPr>
              <w:t>ie</w:t>
            </w:r>
            <w:r>
              <w:rPr>
                <w:position w:val="0"/>
                <w:lang w:val="pl-PL"/>
              </w:rPr>
              <w:t xml:space="preserve"> </w:t>
            </w:r>
            <w:r w:rsidR="005E358F">
              <w:rPr>
                <w:position w:val="0"/>
                <w:lang w:val="pl-PL"/>
              </w:rPr>
              <w:t xml:space="preserve">oceny </w:t>
            </w:r>
            <w:r>
              <w:rPr>
                <w:position w:val="0"/>
                <w:lang w:val="pl-PL"/>
              </w:rPr>
              <w:t xml:space="preserve">na poziomie każdego wymogu dotyczącego ujawnienia, a w stosownych przypadkach, </w:t>
            </w:r>
            <w:r w:rsidR="00FC6EBB">
              <w:rPr>
                <w:position w:val="0"/>
                <w:lang w:val="pl-PL"/>
              </w:rPr>
              <w:br/>
            </w:r>
            <w:r>
              <w:rPr>
                <w:position w:val="0"/>
                <w:lang w:val="pl-PL"/>
              </w:rPr>
              <w:t>w ujęciu łącznym</w:t>
            </w:r>
            <w:r w:rsidR="005E358F">
              <w:rPr>
                <w:position w:val="0"/>
                <w:lang w:val="pl-PL"/>
              </w:rPr>
              <w:t>;</w:t>
            </w:r>
            <w:r>
              <w:rPr>
                <w:position w:val="0"/>
                <w:lang w:val="pl-PL"/>
              </w:rPr>
              <w:t xml:space="preserve"> </w:t>
            </w:r>
            <w:r w:rsidR="005E358F">
              <w:rPr>
                <w:position w:val="0"/>
                <w:lang w:val="pl-PL"/>
              </w:rPr>
              <w:t>o</w:t>
            </w:r>
            <w:r>
              <w:rPr>
                <w:position w:val="0"/>
                <w:lang w:val="pl-PL"/>
              </w:rPr>
              <w:t xml:space="preserve">cena uwzględnia okoliczność, czy pominięcie wymogu ujawnienia informacji indywidualnie uznawanych za niespełniające kryteriów istotności nie </w:t>
            </w:r>
            <w:r>
              <w:rPr>
                <w:position w:val="0"/>
                <w:lang w:val="pl-PL"/>
              </w:rPr>
              <w:lastRenderedPageBreak/>
              <w:t>skutkowałoby łącznie pominięciem informacji mogących wpłynąć na decyzje ekonomiczne użytkowników</w:t>
            </w:r>
            <w:r w:rsidR="00923355">
              <w:rPr>
                <w:position w:val="0"/>
                <w:lang w:val="pl-PL"/>
              </w:rPr>
              <w:t>;</w:t>
            </w:r>
          </w:p>
          <w:p w14:paraId="66A3C21B" w14:textId="77777777" w:rsidR="00082A13" w:rsidRDefault="00082A13" w:rsidP="00082A13">
            <w:pPr>
              <w:pStyle w:val="Tekstpodstawowy"/>
              <w:numPr>
                <w:ilvl w:val="0"/>
                <w:numId w:val="20"/>
              </w:numPr>
              <w:spacing w:line="360" w:lineRule="auto"/>
              <w:rPr>
                <w:position w:val="0"/>
                <w:lang w:val="pl-PL"/>
              </w:rPr>
            </w:pPr>
            <w:r>
              <w:rPr>
                <w:position w:val="0"/>
                <w:lang w:val="pl-PL"/>
              </w:rPr>
              <w:t>dokonywan</w:t>
            </w:r>
            <w:r w:rsidR="005E358F">
              <w:rPr>
                <w:position w:val="0"/>
                <w:lang w:val="pl-PL"/>
              </w:rPr>
              <w:t>ie</w:t>
            </w:r>
            <w:r>
              <w:rPr>
                <w:position w:val="0"/>
                <w:lang w:val="pl-PL"/>
              </w:rPr>
              <w:t xml:space="preserve"> </w:t>
            </w:r>
            <w:r w:rsidR="005E358F">
              <w:rPr>
                <w:position w:val="0"/>
                <w:lang w:val="pl-PL"/>
              </w:rPr>
              <w:t xml:space="preserve">oceny </w:t>
            </w:r>
            <w:r>
              <w:rPr>
                <w:position w:val="0"/>
                <w:lang w:val="pl-PL"/>
              </w:rPr>
              <w:t xml:space="preserve">z uwzględnieniem okoliczności </w:t>
            </w:r>
            <w:r w:rsidR="00FC6EBB">
              <w:rPr>
                <w:position w:val="0"/>
                <w:lang w:val="pl-PL"/>
              </w:rPr>
              <w:br/>
            </w:r>
            <w:r>
              <w:rPr>
                <w:position w:val="0"/>
                <w:lang w:val="pl-PL"/>
              </w:rPr>
              <w:t>i szerszego kontekstu występujących w czasie ujawniania, na przykład wpływu otoczenia gospodarczego i politycznego</w:t>
            </w:r>
            <w:r w:rsidR="00923355">
              <w:rPr>
                <w:position w:val="0"/>
                <w:lang w:val="pl-PL"/>
              </w:rPr>
              <w:t>;</w:t>
            </w:r>
          </w:p>
          <w:p w14:paraId="335A839D" w14:textId="362E4D33" w:rsidR="00082A13" w:rsidRDefault="00082A13" w:rsidP="00082A13">
            <w:pPr>
              <w:pStyle w:val="Tekstpodstawowy"/>
              <w:numPr>
                <w:ilvl w:val="0"/>
                <w:numId w:val="20"/>
              </w:numPr>
              <w:spacing w:line="360" w:lineRule="auto"/>
              <w:rPr>
                <w:position w:val="0"/>
                <w:lang w:val="pl-PL"/>
              </w:rPr>
            </w:pPr>
            <w:r>
              <w:rPr>
                <w:position w:val="0"/>
                <w:lang w:val="pl-PL"/>
              </w:rPr>
              <w:t>potrzeb</w:t>
            </w:r>
            <w:r w:rsidR="009A2804">
              <w:rPr>
                <w:position w:val="0"/>
                <w:lang w:val="pl-PL"/>
              </w:rPr>
              <w:t>y</w:t>
            </w:r>
            <w:r>
              <w:rPr>
                <w:position w:val="0"/>
                <w:lang w:val="pl-PL"/>
              </w:rPr>
              <w:t xml:space="preserve"> użytkowników</w:t>
            </w:r>
            <w:r w:rsidR="009A2804">
              <w:rPr>
                <w:position w:val="0"/>
                <w:lang w:val="pl-PL"/>
              </w:rPr>
              <w:t>;</w:t>
            </w:r>
            <w:r>
              <w:rPr>
                <w:position w:val="0"/>
                <w:lang w:val="pl-PL"/>
              </w:rPr>
              <w:t xml:space="preserve"> ocen</w:t>
            </w:r>
            <w:r w:rsidR="009A2804">
              <w:rPr>
                <w:position w:val="0"/>
                <w:lang w:val="pl-PL"/>
              </w:rPr>
              <w:t>a</w:t>
            </w:r>
            <w:r>
              <w:rPr>
                <w:position w:val="0"/>
                <w:lang w:val="pl-PL"/>
              </w:rPr>
              <w:t xml:space="preserve"> </w:t>
            </w:r>
            <w:r w:rsidR="009A2804">
              <w:rPr>
                <w:position w:val="0"/>
                <w:lang w:val="pl-PL"/>
              </w:rPr>
              <w:t xml:space="preserve">wykonywana </w:t>
            </w:r>
            <w:r>
              <w:rPr>
                <w:position w:val="0"/>
                <w:lang w:val="pl-PL"/>
              </w:rPr>
              <w:t>na podstawie prognozowanych potrzeb użytkowników oraz przewidywanej istotności informacji dla użytkowników – spełnienie danego wymogu dotyczącego ujawnienia może nie być istotne z punktu widzenia Banku, lecz może być istotne z perspektywy użytkowników</w:t>
            </w:r>
            <w:r w:rsidR="00D8085A">
              <w:rPr>
                <w:position w:val="0"/>
                <w:lang w:val="pl-PL"/>
              </w:rPr>
              <w:t xml:space="preserve">; </w:t>
            </w:r>
            <w:r w:rsidR="0064324A">
              <w:rPr>
                <w:position w:val="0"/>
                <w:lang w:val="pl-PL"/>
              </w:rPr>
              <w:t xml:space="preserve">z tego powodu </w:t>
            </w:r>
            <w:r w:rsidR="00923355">
              <w:rPr>
                <w:position w:val="0"/>
                <w:lang w:val="pl-PL"/>
              </w:rPr>
              <w:t xml:space="preserve">Bank uwzględnia wpływ, jaki ujawnienie informacji będzie miało na zrozumienie przez użytkowników funkcjonowania Banku </w:t>
            </w:r>
            <w:r w:rsidR="00FC6EBB">
              <w:rPr>
                <w:position w:val="0"/>
                <w:lang w:val="pl-PL"/>
              </w:rPr>
              <w:br/>
            </w:r>
            <w:r w:rsidR="00923355">
              <w:rPr>
                <w:position w:val="0"/>
                <w:lang w:val="pl-PL"/>
              </w:rPr>
              <w:t>i jego profilu ryzyka;</w:t>
            </w:r>
          </w:p>
          <w:p w14:paraId="3277F6E7" w14:textId="77777777" w:rsidR="00923355" w:rsidRDefault="00923355" w:rsidP="00082A13">
            <w:pPr>
              <w:pStyle w:val="Tekstpodstawowy"/>
              <w:numPr>
                <w:ilvl w:val="0"/>
                <w:numId w:val="20"/>
              </w:numPr>
              <w:spacing w:line="360" w:lineRule="auto"/>
              <w:rPr>
                <w:position w:val="0"/>
                <w:lang w:val="pl-PL"/>
              </w:rPr>
            </w:pPr>
            <w:r>
              <w:rPr>
                <w:position w:val="0"/>
                <w:lang w:val="pl-PL"/>
              </w:rPr>
              <w:t>specyfikę i cel wymogów dotyczących ujawniania, tj. nie stosuje się kryteriów jednakowo w odniesieniu do wszystkich tych wymogów;</w:t>
            </w:r>
          </w:p>
          <w:p w14:paraId="3F47BFBA" w14:textId="77777777" w:rsidR="00923355" w:rsidRDefault="00923355" w:rsidP="00082A13">
            <w:pPr>
              <w:pStyle w:val="Tekstpodstawowy"/>
              <w:numPr>
                <w:ilvl w:val="0"/>
                <w:numId w:val="20"/>
              </w:numPr>
              <w:spacing w:line="360" w:lineRule="auto"/>
              <w:rPr>
                <w:position w:val="0"/>
                <w:lang w:val="pl-PL"/>
              </w:rPr>
            </w:pPr>
            <w:r>
              <w:rPr>
                <w:position w:val="0"/>
                <w:lang w:val="pl-PL"/>
              </w:rPr>
              <w:t>specyfik</w:t>
            </w:r>
            <w:r w:rsidR="009A2804">
              <w:rPr>
                <w:position w:val="0"/>
                <w:lang w:val="pl-PL"/>
              </w:rPr>
              <w:t>ę</w:t>
            </w:r>
            <w:r>
              <w:rPr>
                <w:position w:val="0"/>
                <w:lang w:val="pl-PL"/>
              </w:rPr>
              <w:t xml:space="preserve"> Banku zależ</w:t>
            </w:r>
            <w:r w:rsidR="009A2804">
              <w:rPr>
                <w:position w:val="0"/>
                <w:lang w:val="pl-PL"/>
              </w:rPr>
              <w:t>ną</w:t>
            </w:r>
            <w:r>
              <w:rPr>
                <w:position w:val="0"/>
                <w:lang w:val="pl-PL"/>
              </w:rPr>
              <w:t xml:space="preserve"> od szczególnych cech, działań, ryzyka i profilu ryzyka Banku i nie jest oceniana automatycznie na podstawie wielkości / skali Banku, jego znaczenia na rynku krajowym lub udziału w rynku;</w:t>
            </w:r>
          </w:p>
          <w:p w14:paraId="3E932B2C" w14:textId="77777777" w:rsidR="00923355" w:rsidRDefault="00923355" w:rsidP="00082A13">
            <w:pPr>
              <w:pStyle w:val="Tekstpodstawowy"/>
              <w:numPr>
                <w:ilvl w:val="0"/>
                <w:numId w:val="20"/>
              </w:numPr>
              <w:spacing w:line="360" w:lineRule="auto"/>
              <w:rPr>
                <w:position w:val="0"/>
                <w:lang w:val="pl-PL"/>
              </w:rPr>
            </w:pPr>
            <w:r>
              <w:rPr>
                <w:position w:val="0"/>
                <w:lang w:val="pl-PL"/>
              </w:rPr>
              <w:t xml:space="preserve">okoliczność, że istotność związana jest ze znaczeniem ilościowym ujmowanym kwotowo bądź znaczeniem jakościowym określanym charakterem danej informacji, takiej jak ekspozycje lub ryzyka, które mogą być istotne ze względu na swój charakter lub wielkość i ocena istotności </w:t>
            </w:r>
            <w:r w:rsidR="00411CBE">
              <w:rPr>
                <w:position w:val="0"/>
                <w:lang w:val="pl-PL"/>
              </w:rPr>
              <w:t>dokonywana wyłącznie na podstawie podejścia ilościowego lub progu istotności nie powinna być zasadniczo uznawana za odpowiednią dla ujawniania informacji;</w:t>
            </w:r>
          </w:p>
          <w:p w14:paraId="2EEC0057" w14:textId="613CCBBF" w:rsidR="00411CBE" w:rsidRDefault="00411CBE" w:rsidP="00082A13">
            <w:pPr>
              <w:pStyle w:val="Tekstpodstawowy"/>
              <w:numPr>
                <w:ilvl w:val="0"/>
                <w:numId w:val="20"/>
              </w:numPr>
              <w:spacing w:line="360" w:lineRule="auto"/>
              <w:rPr>
                <w:position w:val="0"/>
                <w:lang w:val="pl-PL"/>
              </w:rPr>
            </w:pPr>
            <w:r>
              <w:rPr>
                <w:position w:val="0"/>
                <w:lang w:val="pl-PL"/>
              </w:rPr>
              <w:t>okoliczność, że istotność jest pojęciem dynamicznym</w:t>
            </w:r>
            <w:r w:rsidR="003B5EC6">
              <w:rPr>
                <w:position w:val="0"/>
                <w:lang w:val="pl-PL"/>
              </w:rPr>
              <w:t xml:space="preserve"> - </w:t>
            </w:r>
            <w:r>
              <w:rPr>
                <w:position w:val="0"/>
                <w:lang w:val="pl-PL"/>
              </w:rPr>
              <w:t>zależy od kontekstu ujawnienia</w:t>
            </w:r>
            <w:r w:rsidR="00DA0215">
              <w:rPr>
                <w:position w:val="0"/>
                <w:lang w:val="pl-PL"/>
              </w:rPr>
              <w:t xml:space="preserve">; </w:t>
            </w:r>
            <w:r w:rsidR="00BB61CD">
              <w:rPr>
                <w:position w:val="0"/>
                <w:lang w:val="pl-PL"/>
              </w:rPr>
              <w:t xml:space="preserve">Bank uwzględnia </w:t>
            </w:r>
            <w:r w:rsidR="00136D21">
              <w:rPr>
                <w:position w:val="0"/>
                <w:lang w:val="pl-PL"/>
              </w:rPr>
              <w:t>ryzyka, na które jest lub może być narażony</w:t>
            </w:r>
            <w:r w:rsidR="00DA0215">
              <w:rPr>
                <w:position w:val="0"/>
                <w:lang w:val="pl-PL"/>
              </w:rPr>
              <w:t>;</w:t>
            </w:r>
            <w:r w:rsidR="00136D21">
              <w:rPr>
                <w:position w:val="0"/>
                <w:lang w:val="pl-PL"/>
              </w:rPr>
              <w:t xml:space="preserve">. </w:t>
            </w:r>
            <w:r w:rsidR="00DA0215">
              <w:rPr>
                <w:position w:val="0"/>
                <w:lang w:val="pl-PL"/>
              </w:rPr>
              <w:t xml:space="preserve">bieżące </w:t>
            </w:r>
            <w:r w:rsidR="00136D21">
              <w:rPr>
                <w:position w:val="0"/>
                <w:lang w:val="pl-PL"/>
              </w:rPr>
              <w:t xml:space="preserve">ponowne oceny istotności w miarę ewolucji ryzyka lub zmian okoliczności </w:t>
            </w:r>
            <w:r w:rsidR="00136D21">
              <w:rPr>
                <w:position w:val="0"/>
                <w:lang w:val="pl-PL"/>
              </w:rPr>
              <w:lastRenderedPageBreak/>
              <w:t xml:space="preserve">mogą z czasem doprowadzić do zmiany rodzaju i zakresu ujawnianych informacji; </w:t>
            </w:r>
          </w:p>
          <w:p w14:paraId="2ED5DCC7" w14:textId="77777777" w:rsidR="00136D21" w:rsidRDefault="000F3C16" w:rsidP="00082A13">
            <w:pPr>
              <w:pStyle w:val="Tekstpodstawowy"/>
              <w:numPr>
                <w:ilvl w:val="0"/>
                <w:numId w:val="20"/>
              </w:numPr>
              <w:spacing w:line="360" w:lineRule="auto"/>
              <w:rPr>
                <w:position w:val="0"/>
                <w:lang w:val="pl-PL"/>
              </w:rPr>
            </w:pPr>
            <w:r>
              <w:rPr>
                <w:position w:val="0"/>
                <w:lang w:val="pl-PL"/>
              </w:rPr>
              <w:t>osąd każdego właściwego pracownika, który może przyczynić się do wzbogacenia oceny istotności ujawnianych i</w:t>
            </w:r>
            <w:r w:rsidR="004377B7">
              <w:rPr>
                <w:position w:val="0"/>
                <w:lang w:val="pl-PL"/>
              </w:rPr>
              <w:t>n</w:t>
            </w:r>
            <w:r>
              <w:rPr>
                <w:position w:val="0"/>
                <w:lang w:val="pl-PL"/>
              </w:rPr>
              <w:t>formacji;</w:t>
            </w:r>
          </w:p>
          <w:p w14:paraId="5D838998" w14:textId="77777777" w:rsidR="000F3C16" w:rsidRDefault="000F3C16" w:rsidP="00082A13">
            <w:pPr>
              <w:pStyle w:val="Tekstpodstawowy"/>
              <w:numPr>
                <w:ilvl w:val="0"/>
                <w:numId w:val="20"/>
              </w:numPr>
              <w:spacing w:line="360" w:lineRule="auto"/>
              <w:rPr>
                <w:position w:val="0"/>
                <w:lang w:val="pl-PL"/>
              </w:rPr>
            </w:pPr>
            <w:r>
              <w:rPr>
                <w:position w:val="0"/>
                <w:lang w:val="pl-PL"/>
              </w:rPr>
              <w:t>następujące kryteria:</w:t>
            </w:r>
          </w:p>
          <w:p w14:paraId="1A427B1E" w14:textId="77777777" w:rsidR="000F3C16" w:rsidRDefault="000F3C16" w:rsidP="000F3C16">
            <w:pPr>
              <w:pStyle w:val="Tekstpodstawowy"/>
              <w:numPr>
                <w:ilvl w:val="0"/>
                <w:numId w:val="22"/>
              </w:numPr>
              <w:spacing w:line="360" w:lineRule="auto"/>
              <w:rPr>
                <w:position w:val="0"/>
                <w:lang w:val="pl-PL"/>
              </w:rPr>
            </w:pPr>
            <w:r>
              <w:rPr>
                <w:position w:val="0"/>
                <w:lang w:val="pl-PL"/>
              </w:rPr>
              <w:t>model biznesowy, w oparciu o indywidualne wskaźniki oraz długofalową strategię,</w:t>
            </w:r>
          </w:p>
          <w:p w14:paraId="0379DAC9" w14:textId="77777777" w:rsidR="000F3C16" w:rsidRDefault="000F3C16" w:rsidP="000F3C16">
            <w:pPr>
              <w:pStyle w:val="Tekstpodstawowy"/>
              <w:numPr>
                <w:ilvl w:val="0"/>
                <w:numId w:val="22"/>
              </w:numPr>
              <w:spacing w:line="360" w:lineRule="auto"/>
              <w:rPr>
                <w:position w:val="0"/>
                <w:lang w:val="pl-PL"/>
              </w:rPr>
            </w:pPr>
            <w:r>
              <w:rPr>
                <w:position w:val="0"/>
                <w:lang w:val="pl-PL"/>
              </w:rPr>
              <w:t>wielkość, wyrażoną udziałem w wielkościach mierników regulacyjnych, finansowych lub rentowności bądź kwotami nominalnymi, danej informacji lub elementu (ryzyko, ekspozycja), którego dotyczy i dla którego oceniana jest istotność,</w:t>
            </w:r>
          </w:p>
          <w:p w14:paraId="74CAFCED" w14:textId="77777777" w:rsidR="000F3C16" w:rsidRDefault="000F3C16" w:rsidP="000F3C16">
            <w:pPr>
              <w:pStyle w:val="Tekstpodstawowy"/>
              <w:numPr>
                <w:ilvl w:val="0"/>
                <w:numId w:val="22"/>
              </w:numPr>
              <w:spacing w:line="360" w:lineRule="auto"/>
              <w:rPr>
                <w:position w:val="0"/>
                <w:lang w:val="pl-PL"/>
              </w:rPr>
            </w:pPr>
            <w:r>
              <w:rPr>
                <w:position w:val="0"/>
                <w:lang w:val="pl-PL"/>
              </w:rPr>
              <w:t xml:space="preserve">wpływ elementu, którego dotyczy </w:t>
            </w:r>
            <w:r w:rsidRPr="000F3C16">
              <w:rPr>
                <w:position w:val="0"/>
                <w:lang w:val="pl-PL"/>
              </w:rPr>
              <w:t xml:space="preserve">dana informacja na rozwój łącznych ekspozycji na ryzyko (wyrażonych w szczególności kwotami ekspozycji na ryzyko lub kwotami ekspozycji ważonych ryzykiem) lub ogólny profil ryzyka </w:t>
            </w:r>
            <w:r>
              <w:rPr>
                <w:position w:val="0"/>
                <w:lang w:val="pl-PL"/>
              </w:rPr>
              <w:t>Banku</w:t>
            </w:r>
            <w:r w:rsidR="004377B7">
              <w:rPr>
                <w:position w:val="0"/>
                <w:lang w:val="pl-PL"/>
              </w:rPr>
              <w:t>,</w:t>
            </w:r>
          </w:p>
          <w:p w14:paraId="2A55FADF" w14:textId="77777777" w:rsidR="000F3C16" w:rsidRDefault="000F3C16" w:rsidP="000F3C16">
            <w:pPr>
              <w:pStyle w:val="Tekstpodstawowy"/>
              <w:numPr>
                <w:ilvl w:val="0"/>
                <w:numId w:val="22"/>
              </w:numPr>
              <w:spacing w:line="360" w:lineRule="auto"/>
              <w:rPr>
                <w:position w:val="0"/>
                <w:lang w:val="pl-PL"/>
              </w:rPr>
            </w:pPr>
            <w:r w:rsidRPr="000F3C16">
              <w:rPr>
                <w:position w:val="0"/>
                <w:lang w:val="pl-PL"/>
              </w:rPr>
              <w:t>istotność danej informacji dla zrozumienia bieżących ryzyk i wypłacalności oraz rozwoju sytuacji w tym zakresie, mając na uwadze, że pominięcie nie powinno zatajać rozwoju sytuacji w zakresie ryzyka w poprzednim okresie</w:t>
            </w:r>
            <w:r w:rsidR="004377B7">
              <w:rPr>
                <w:position w:val="0"/>
                <w:lang w:val="pl-PL"/>
              </w:rPr>
              <w:t>,</w:t>
            </w:r>
          </w:p>
          <w:p w14:paraId="3F8610B5" w14:textId="77777777" w:rsidR="000F3C16" w:rsidRDefault="000F3C16" w:rsidP="000F3C16">
            <w:pPr>
              <w:pStyle w:val="Tekstpodstawowy"/>
              <w:numPr>
                <w:ilvl w:val="0"/>
                <w:numId w:val="22"/>
              </w:numPr>
              <w:spacing w:line="360" w:lineRule="auto"/>
              <w:rPr>
                <w:position w:val="0"/>
                <w:lang w:val="pl-PL"/>
              </w:rPr>
            </w:pPr>
            <w:r w:rsidRPr="000F3C16">
              <w:rPr>
                <w:position w:val="0"/>
                <w:lang w:val="pl-PL"/>
              </w:rPr>
              <w:t>amplituda zmian elementu, którego dotyczy dana informacja, w stosunku do poprzedniego roku</w:t>
            </w:r>
            <w:r w:rsidR="004377B7">
              <w:rPr>
                <w:position w:val="0"/>
                <w:lang w:val="pl-PL"/>
              </w:rPr>
              <w:t>,</w:t>
            </w:r>
          </w:p>
          <w:p w14:paraId="153BC57A" w14:textId="232AB750" w:rsidR="000F3C16" w:rsidRDefault="000F3C16" w:rsidP="00F64477">
            <w:pPr>
              <w:pStyle w:val="Tekstpodstawowy"/>
              <w:numPr>
                <w:ilvl w:val="0"/>
                <w:numId w:val="22"/>
              </w:numPr>
              <w:spacing w:line="360" w:lineRule="auto"/>
              <w:rPr>
                <w:position w:val="0"/>
                <w:lang w:val="pl-PL"/>
              </w:rPr>
            </w:pPr>
            <w:r w:rsidRPr="000F3C16">
              <w:rPr>
                <w:position w:val="0"/>
                <w:lang w:val="pl-PL"/>
              </w:rPr>
              <w:t xml:space="preserve">odniesienie informacji </w:t>
            </w:r>
            <w:r w:rsidR="008618EB">
              <w:rPr>
                <w:position w:val="0"/>
                <w:lang w:val="pl-PL"/>
              </w:rPr>
              <w:t>do</w:t>
            </w:r>
            <w:r w:rsidR="008618EB" w:rsidRPr="000F3C16">
              <w:rPr>
                <w:position w:val="0"/>
                <w:lang w:val="pl-PL"/>
              </w:rPr>
              <w:t xml:space="preserve"> </w:t>
            </w:r>
            <w:r w:rsidRPr="000F3C16">
              <w:rPr>
                <w:position w:val="0"/>
                <w:lang w:val="pl-PL"/>
              </w:rPr>
              <w:t>rozwoju w ostatnim czasie sytuacji w zakresie ryzyka, jak i potrzeb dotyczących ujawniania, a także praktyk rynkowych w zakresie ujawnień</w:t>
            </w:r>
            <w:r>
              <w:rPr>
                <w:position w:val="0"/>
                <w:lang w:val="pl-PL"/>
              </w:rPr>
              <w:t>.</w:t>
            </w:r>
          </w:p>
          <w:p w14:paraId="31138501" w14:textId="77777777" w:rsidR="00F40152" w:rsidRPr="00267F05" w:rsidRDefault="00F40152" w:rsidP="00267F05">
            <w:pPr>
              <w:pStyle w:val="Tekstpodstawowy"/>
              <w:spacing w:line="360" w:lineRule="auto"/>
              <w:rPr>
                <w:position w:val="0"/>
              </w:rPr>
            </w:pPr>
          </w:p>
        </w:tc>
      </w:tr>
      <w:tr w:rsidR="00F40152" w:rsidRPr="0004137A" w14:paraId="0EAF7842" w14:textId="77777777" w:rsidTr="00267F05">
        <w:trPr>
          <w:jc w:val="center"/>
        </w:trPr>
        <w:tc>
          <w:tcPr>
            <w:tcW w:w="2338" w:type="dxa"/>
            <w:shd w:val="clear" w:color="auto" w:fill="auto"/>
            <w:vAlign w:val="center"/>
          </w:tcPr>
          <w:p w14:paraId="08B9B06C" w14:textId="77777777" w:rsidR="00F40152" w:rsidRPr="00267F05" w:rsidRDefault="00F40152" w:rsidP="00267F05">
            <w:pPr>
              <w:pStyle w:val="Tekstpodstawowy"/>
              <w:spacing w:line="276" w:lineRule="auto"/>
              <w:jc w:val="center"/>
              <w:rPr>
                <w:b/>
                <w:bCs/>
                <w:position w:val="0"/>
              </w:rPr>
            </w:pPr>
            <w:r w:rsidRPr="00267F05">
              <w:rPr>
                <w:b/>
                <w:bCs/>
                <w:position w:val="0"/>
                <w:lang w:val="pl-PL"/>
              </w:rPr>
              <w:lastRenderedPageBreak/>
              <w:t>I</w:t>
            </w:r>
            <w:r w:rsidRPr="00267F05">
              <w:rPr>
                <w:b/>
                <w:bCs/>
                <w:position w:val="0"/>
              </w:rPr>
              <w:t xml:space="preserve">nformacja </w:t>
            </w:r>
            <w:r w:rsidRPr="00267F05">
              <w:rPr>
                <w:b/>
                <w:bCs/>
                <w:position w:val="0"/>
                <w:lang w:val="pl-PL"/>
              </w:rPr>
              <w:t>P</w:t>
            </w:r>
            <w:r w:rsidRPr="00267F05">
              <w:rPr>
                <w:b/>
                <w:bCs/>
                <w:position w:val="0"/>
              </w:rPr>
              <w:t>oufna</w:t>
            </w:r>
          </w:p>
        </w:tc>
        <w:tc>
          <w:tcPr>
            <w:tcW w:w="6874" w:type="dxa"/>
            <w:shd w:val="clear" w:color="auto" w:fill="auto"/>
          </w:tcPr>
          <w:p w14:paraId="56B1C67F" w14:textId="77777777" w:rsidR="00F40152" w:rsidRDefault="00F40152" w:rsidP="00267F05">
            <w:pPr>
              <w:pStyle w:val="Tekstpodstawowy"/>
              <w:spacing w:line="360" w:lineRule="auto"/>
              <w:rPr>
                <w:position w:val="0"/>
                <w:lang w:val="pl-PL"/>
              </w:rPr>
            </w:pPr>
            <w:r w:rsidRPr="00267F05">
              <w:rPr>
                <w:position w:val="0"/>
                <w:lang w:val="pl-PL"/>
              </w:rPr>
              <w:t>I</w:t>
            </w:r>
            <w:r w:rsidRPr="00267F05">
              <w:rPr>
                <w:position w:val="0"/>
              </w:rPr>
              <w:t>nformacja</w:t>
            </w:r>
            <w:r w:rsidR="009A2804">
              <w:rPr>
                <w:position w:val="0"/>
                <w:lang w:val="pl-PL"/>
              </w:rPr>
              <w:t>,</w:t>
            </w:r>
            <w:r w:rsidRPr="00267F05">
              <w:rPr>
                <w:position w:val="0"/>
              </w:rPr>
              <w:t xml:space="preserve"> w przypadku której Bank zobowiązał się wobec klienta lub innego kontrahenta do zachowania poufności</w:t>
            </w:r>
            <w:r w:rsidRPr="00267F05">
              <w:rPr>
                <w:position w:val="0"/>
                <w:lang w:val="pl-PL"/>
              </w:rPr>
              <w:t xml:space="preserve"> – w tym zakresie </w:t>
            </w:r>
            <w:r w:rsidRPr="00267F05">
              <w:rPr>
                <w:position w:val="0"/>
                <w:lang w:val="pl-PL"/>
              </w:rPr>
              <w:lastRenderedPageBreak/>
              <w:t>Bank ocenia kryterium poufności zgodnie z Wytyczny</w:t>
            </w:r>
            <w:r w:rsidR="00910C61">
              <w:rPr>
                <w:position w:val="0"/>
                <w:lang w:val="pl-PL"/>
              </w:rPr>
              <w:t>mi</w:t>
            </w:r>
            <w:r w:rsidRPr="00267F05">
              <w:rPr>
                <w:position w:val="0"/>
                <w:lang w:val="pl-PL"/>
              </w:rPr>
              <w:t xml:space="preserve"> EUNB 2014/14</w:t>
            </w:r>
            <w:r w:rsidR="002A3B98">
              <w:rPr>
                <w:position w:val="0"/>
                <w:lang w:val="pl-PL"/>
              </w:rPr>
              <w:t>, w szczególności</w:t>
            </w:r>
            <w:r w:rsidR="009A2804">
              <w:rPr>
                <w:position w:val="0"/>
                <w:lang w:val="pl-PL"/>
              </w:rPr>
              <w:t xml:space="preserve"> uwzględniając</w:t>
            </w:r>
            <w:r w:rsidR="002A3B98">
              <w:rPr>
                <w:position w:val="0"/>
                <w:lang w:val="pl-PL"/>
              </w:rPr>
              <w:t>:</w:t>
            </w:r>
          </w:p>
          <w:p w14:paraId="7D18D6DE" w14:textId="095755AA" w:rsidR="002A3B98" w:rsidRPr="00F64477" w:rsidRDefault="00F0508E" w:rsidP="00F64477">
            <w:pPr>
              <w:pStyle w:val="Tekstpodstawowy"/>
              <w:numPr>
                <w:ilvl w:val="0"/>
                <w:numId w:val="26"/>
              </w:numPr>
              <w:spacing w:line="360" w:lineRule="auto"/>
              <w:rPr>
                <w:position w:val="0"/>
              </w:rPr>
            </w:pPr>
            <w:r>
              <w:rPr>
                <w:position w:val="0"/>
                <w:lang w:val="pl-PL"/>
              </w:rPr>
              <w:t>przypadki uznania informacji za poufną</w:t>
            </w:r>
            <w:r w:rsidR="00056176">
              <w:rPr>
                <w:position w:val="0"/>
                <w:lang w:val="pl-PL"/>
              </w:rPr>
              <w:t>;</w:t>
            </w:r>
          </w:p>
          <w:p w14:paraId="3CF7EF98" w14:textId="77777777" w:rsidR="00F0508E" w:rsidRPr="00267F05" w:rsidRDefault="0080550D" w:rsidP="00F64477">
            <w:pPr>
              <w:pStyle w:val="Tekstpodstawowy"/>
              <w:numPr>
                <w:ilvl w:val="0"/>
                <w:numId w:val="26"/>
              </w:numPr>
              <w:spacing w:line="360" w:lineRule="auto"/>
              <w:rPr>
                <w:position w:val="0"/>
              </w:rPr>
            </w:pPr>
            <w:r>
              <w:rPr>
                <w:position w:val="0"/>
                <w:lang w:val="pl-PL"/>
              </w:rPr>
              <w:t xml:space="preserve">że </w:t>
            </w:r>
            <w:r w:rsidR="00F0508E">
              <w:rPr>
                <w:position w:val="0"/>
                <w:lang w:val="pl-PL"/>
              </w:rPr>
              <w:t>ogólne powołanie się na poufność nie stanowi wystarczającego powodu do uchylania się od ujawnienia; Bank analizuje, w jakim stopniu ujawnienie danej informacji naruszyłoby prawa klientów lub kontrahentów Banku bądź stanowiłoby naruszenie zobowiązań poufności; przeprowadzając analizę uwzględnia się ocenę prawną.</w:t>
            </w:r>
          </w:p>
        </w:tc>
      </w:tr>
      <w:tr w:rsidR="00F40152" w:rsidRPr="0004137A" w14:paraId="13B3FEB4" w14:textId="77777777" w:rsidTr="00267F05">
        <w:trPr>
          <w:jc w:val="center"/>
        </w:trPr>
        <w:tc>
          <w:tcPr>
            <w:tcW w:w="2338" w:type="dxa"/>
            <w:shd w:val="clear" w:color="auto" w:fill="auto"/>
            <w:vAlign w:val="center"/>
          </w:tcPr>
          <w:p w14:paraId="7CA52DE0" w14:textId="77777777" w:rsidR="00F40152" w:rsidRPr="00267F05" w:rsidRDefault="00F40152" w:rsidP="00267F05">
            <w:pPr>
              <w:pStyle w:val="Tekstpodstawowy"/>
              <w:spacing w:line="276" w:lineRule="auto"/>
              <w:jc w:val="center"/>
              <w:rPr>
                <w:b/>
                <w:bCs/>
                <w:position w:val="0"/>
              </w:rPr>
            </w:pPr>
            <w:r w:rsidRPr="00267F05">
              <w:rPr>
                <w:b/>
                <w:bCs/>
                <w:position w:val="0"/>
                <w:lang w:val="pl-PL"/>
              </w:rPr>
              <w:lastRenderedPageBreak/>
              <w:t>I</w:t>
            </w:r>
            <w:r w:rsidRPr="00267F05">
              <w:rPr>
                <w:b/>
                <w:bCs/>
                <w:position w:val="0"/>
              </w:rPr>
              <w:t xml:space="preserve">nformacja </w:t>
            </w:r>
            <w:r w:rsidRPr="00267F05">
              <w:rPr>
                <w:b/>
                <w:bCs/>
                <w:position w:val="0"/>
                <w:lang w:val="pl-PL"/>
              </w:rPr>
              <w:t>Z</w:t>
            </w:r>
            <w:r w:rsidRPr="00267F05">
              <w:rPr>
                <w:b/>
                <w:bCs/>
                <w:position w:val="0"/>
              </w:rPr>
              <w:t>astrzeżona</w:t>
            </w:r>
          </w:p>
        </w:tc>
        <w:tc>
          <w:tcPr>
            <w:tcW w:w="6874" w:type="dxa"/>
            <w:shd w:val="clear" w:color="auto" w:fill="auto"/>
          </w:tcPr>
          <w:p w14:paraId="67DDE987" w14:textId="77777777" w:rsidR="00F40152" w:rsidRDefault="00F40152" w:rsidP="007C78FE">
            <w:pPr>
              <w:pStyle w:val="Tekstpodstawowy"/>
              <w:spacing w:line="360" w:lineRule="auto"/>
              <w:rPr>
                <w:position w:val="0"/>
                <w:lang w:val="pl-PL"/>
              </w:rPr>
            </w:pPr>
            <w:r w:rsidRPr="00267F05">
              <w:rPr>
                <w:position w:val="0"/>
                <w:lang w:val="pl-PL"/>
              </w:rPr>
              <w:t>I</w:t>
            </w:r>
            <w:r w:rsidRPr="00267F05">
              <w:rPr>
                <w:position w:val="0"/>
              </w:rPr>
              <w:t xml:space="preserve">nformacja, której podanie do wiadomości publicznej osłabiłoby pozycję konkurencyjną Banku. Mogą to być informacje dotyczące produktów lub systemów, których ujawnienie konkurencji obniżyłoby opłacalność inwestycji Banku w te produkty lub </w:t>
            </w:r>
            <w:r w:rsidRPr="00267F05">
              <w:rPr>
                <w:position w:val="0"/>
                <w:lang w:val="pl-PL"/>
              </w:rPr>
              <w:t>s</w:t>
            </w:r>
            <w:r w:rsidRPr="00267F05">
              <w:rPr>
                <w:position w:val="0"/>
              </w:rPr>
              <w:t>ystemy</w:t>
            </w:r>
            <w:r w:rsidRPr="00267F05">
              <w:rPr>
                <w:position w:val="0"/>
                <w:lang w:val="pl-PL"/>
              </w:rPr>
              <w:t xml:space="preserve"> – w tym zakresie Bank ocenia czy informacja ma zastrzeżony charakter zgodnie z Wytyczny</w:t>
            </w:r>
            <w:r w:rsidR="00910C61">
              <w:rPr>
                <w:position w:val="0"/>
                <w:lang w:val="pl-PL"/>
              </w:rPr>
              <w:t>mi</w:t>
            </w:r>
            <w:r w:rsidRPr="00267F05">
              <w:rPr>
                <w:position w:val="0"/>
                <w:lang w:val="pl-PL"/>
              </w:rPr>
              <w:t xml:space="preserve"> EUNB 2014/14</w:t>
            </w:r>
            <w:r w:rsidR="00F0508E">
              <w:rPr>
                <w:position w:val="0"/>
                <w:lang w:val="pl-PL"/>
              </w:rPr>
              <w:t>, w szczególności</w:t>
            </w:r>
            <w:r w:rsidR="0080550D">
              <w:rPr>
                <w:position w:val="0"/>
                <w:lang w:val="pl-PL"/>
              </w:rPr>
              <w:t xml:space="preserve"> uwzględniając</w:t>
            </w:r>
            <w:r w:rsidR="00F0508E">
              <w:rPr>
                <w:position w:val="0"/>
                <w:lang w:val="pl-PL"/>
              </w:rPr>
              <w:t>:</w:t>
            </w:r>
          </w:p>
          <w:p w14:paraId="4754C353" w14:textId="75E4D1A1" w:rsidR="00F0508E" w:rsidRPr="007E620E" w:rsidRDefault="00937811" w:rsidP="00F0508E">
            <w:pPr>
              <w:pStyle w:val="Tekstpodstawowy"/>
              <w:numPr>
                <w:ilvl w:val="0"/>
                <w:numId w:val="24"/>
              </w:numPr>
              <w:spacing w:line="360" w:lineRule="auto"/>
              <w:rPr>
                <w:position w:val="0"/>
              </w:rPr>
            </w:pPr>
            <w:r>
              <w:rPr>
                <w:position w:val="0"/>
                <w:lang w:val="pl-PL"/>
              </w:rPr>
              <w:t>przypadki uznania informacji za zastrzeżoną i dotyczą</w:t>
            </w:r>
            <w:r w:rsidR="0080550D">
              <w:rPr>
                <w:position w:val="0"/>
                <w:lang w:val="pl-PL"/>
              </w:rPr>
              <w:t>ce</w:t>
            </w:r>
            <w:r>
              <w:rPr>
                <w:position w:val="0"/>
                <w:lang w:val="pl-PL"/>
              </w:rPr>
              <w:t xml:space="preserve"> na tyle ważnych informacji, że ich ujawnienie znacznie zaszkodziłoby pozycji konkurencyjnej Banku; oprócz informacji dotyczących produktów lub systemów, które w przypadku ujawnienia informacji o nich konkurentom zmniejszałyby opłacalność inwestowania w te produkty i systemy, informacje zastrzeżone mogą obejmować warunki prowadzenia działalności lub sytuacji biznesowej istotne z punktu widzenia konkurencyjności;</w:t>
            </w:r>
          </w:p>
          <w:p w14:paraId="19D6147B" w14:textId="77777777" w:rsidR="00937811" w:rsidRPr="007E620E" w:rsidRDefault="00465608" w:rsidP="00937811">
            <w:pPr>
              <w:pStyle w:val="Tekstpodstawowy"/>
              <w:numPr>
                <w:ilvl w:val="0"/>
                <w:numId w:val="24"/>
              </w:numPr>
              <w:spacing w:line="360" w:lineRule="auto"/>
              <w:rPr>
                <w:position w:val="0"/>
              </w:rPr>
            </w:pPr>
            <w:r>
              <w:rPr>
                <w:position w:val="0"/>
                <w:lang w:val="pl-PL"/>
              </w:rPr>
              <w:t xml:space="preserve">ogólne ryzyko potencjalnego osłabienia konkurencyjności </w:t>
            </w:r>
            <w:r w:rsidR="00FC6EBB">
              <w:rPr>
                <w:position w:val="0"/>
                <w:lang w:val="pl-PL"/>
              </w:rPr>
              <w:br/>
            </w:r>
            <w:r>
              <w:rPr>
                <w:position w:val="0"/>
                <w:lang w:val="pl-PL"/>
              </w:rPr>
              <w:t>w wyniku ujawnienia nie powinno samo w sobie stanowić wystarczającego powodu uchylania się przed ujawnieniem; należy zapewnić dostępność szczegółowego uzasadnienia, które powinno opierać się na analizie skutków ujawnienia informacji zastrzeżonych;</w:t>
            </w:r>
          </w:p>
          <w:p w14:paraId="44DC778B" w14:textId="3045771C" w:rsidR="00465608" w:rsidRPr="007E620E" w:rsidRDefault="00465608" w:rsidP="00937811">
            <w:pPr>
              <w:pStyle w:val="Tekstpodstawowy"/>
              <w:numPr>
                <w:ilvl w:val="0"/>
                <w:numId w:val="24"/>
              </w:numPr>
              <w:spacing w:line="360" w:lineRule="auto"/>
              <w:rPr>
                <w:position w:val="0"/>
              </w:rPr>
            </w:pPr>
            <w:r>
              <w:rPr>
                <w:position w:val="0"/>
                <w:lang w:val="pl-PL"/>
              </w:rPr>
              <w:t>niewykorzystywa</w:t>
            </w:r>
            <w:r w:rsidR="0080550D">
              <w:rPr>
                <w:position w:val="0"/>
                <w:lang w:val="pl-PL"/>
              </w:rPr>
              <w:t>nie</w:t>
            </w:r>
            <w:r>
              <w:rPr>
                <w:position w:val="0"/>
                <w:lang w:val="pl-PL"/>
              </w:rPr>
              <w:t xml:space="preserve"> odstępstw od ujawnienia w związku </w:t>
            </w:r>
            <w:r w:rsidR="00FC6EBB">
              <w:rPr>
                <w:position w:val="0"/>
                <w:lang w:val="pl-PL"/>
              </w:rPr>
              <w:br/>
            </w:r>
            <w:r>
              <w:rPr>
                <w:position w:val="0"/>
                <w:lang w:val="pl-PL"/>
              </w:rPr>
              <w:t xml:space="preserve">z zastrzeżonym charakterem informacji, by uchylać się od </w:t>
            </w:r>
            <w:r>
              <w:rPr>
                <w:position w:val="0"/>
                <w:lang w:val="pl-PL"/>
              </w:rPr>
              <w:lastRenderedPageBreak/>
              <w:t>ujawnienia informacji, które doprowadziłyby do pogorszenia sytuacji rynkowej danej instytucji w związku z tym, że informacje te oddają niekorzystny profil ryzyka;</w:t>
            </w:r>
          </w:p>
          <w:p w14:paraId="58E2E690" w14:textId="77777777" w:rsidR="00465608" w:rsidRPr="00937811" w:rsidRDefault="00465608" w:rsidP="007E620E">
            <w:pPr>
              <w:pStyle w:val="Tekstpodstawowy"/>
              <w:numPr>
                <w:ilvl w:val="0"/>
                <w:numId w:val="24"/>
              </w:numPr>
              <w:spacing w:line="360" w:lineRule="auto"/>
              <w:rPr>
                <w:position w:val="0"/>
              </w:rPr>
            </w:pPr>
            <w:r>
              <w:rPr>
                <w:position w:val="0"/>
                <w:lang w:val="pl-PL"/>
              </w:rPr>
              <w:t xml:space="preserve">należy oceniać możliwość utraty pozycji konkurencyjnej na przykład pod </w:t>
            </w:r>
            <w:r w:rsidR="002F1908">
              <w:rPr>
                <w:position w:val="0"/>
                <w:lang w:val="pl-PL"/>
              </w:rPr>
              <w:t>względem wielkości czy zasięgu lub obszaru działalności; Bank wyjaśnia, dlaczego ujawnienie tych informacji dałoby zbyt duży wgląd w strukturę działalności</w:t>
            </w:r>
            <w:r w:rsidR="00AA0876">
              <w:rPr>
                <w:position w:val="0"/>
                <w:lang w:val="pl-PL"/>
              </w:rPr>
              <w:t xml:space="preserve"> Banku. </w:t>
            </w:r>
          </w:p>
        </w:tc>
      </w:tr>
    </w:tbl>
    <w:p w14:paraId="7B3EF170" w14:textId="77777777" w:rsidR="00E9223F" w:rsidRPr="0004137A" w:rsidRDefault="00E9223F" w:rsidP="00A55435">
      <w:pPr>
        <w:spacing w:line="276" w:lineRule="auto"/>
      </w:pPr>
    </w:p>
    <w:p w14:paraId="38C162C7" w14:textId="77777777" w:rsidR="00BF02EC" w:rsidRPr="00E44598" w:rsidRDefault="00BF02EC" w:rsidP="007C6965">
      <w:pPr>
        <w:pStyle w:val="Nagwek1"/>
      </w:pPr>
      <w:bookmarkStart w:id="5" w:name="_Toc71277916"/>
      <w:r w:rsidRPr="00E44598">
        <w:t>Rozdział 2</w:t>
      </w:r>
      <w:bookmarkEnd w:id="5"/>
    </w:p>
    <w:p w14:paraId="6DF74754" w14:textId="77777777" w:rsidR="00BF02EC" w:rsidRPr="00E44598" w:rsidRDefault="00BF02EC" w:rsidP="00CE0916">
      <w:pPr>
        <w:spacing w:line="360" w:lineRule="auto"/>
        <w:jc w:val="center"/>
        <w:rPr>
          <w:b/>
          <w:bCs/>
          <w:sz w:val="28"/>
          <w:szCs w:val="28"/>
        </w:rPr>
      </w:pPr>
      <w:r w:rsidRPr="00E44598">
        <w:rPr>
          <w:b/>
          <w:bCs/>
          <w:sz w:val="28"/>
          <w:szCs w:val="28"/>
        </w:rPr>
        <w:t>Zasady ujawniania</w:t>
      </w:r>
    </w:p>
    <w:p w14:paraId="427855F4" w14:textId="77777777" w:rsidR="00BF02EC" w:rsidRPr="0004137A" w:rsidRDefault="00BF02EC" w:rsidP="00CE0916">
      <w:pPr>
        <w:spacing w:line="360" w:lineRule="auto"/>
      </w:pPr>
    </w:p>
    <w:p w14:paraId="1D8655F9" w14:textId="77777777" w:rsidR="00F60576" w:rsidRDefault="00F60576" w:rsidP="00F60576">
      <w:pPr>
        <w:jc w:val="center"/>
      </w:pPr>
      <w:bookmarkStart w:id="6" w:name="_Toc467760312"/>
      <w:r w:rsidRPr="00F60576">
        <w:rPr>
          <w:b/>
          <w:bCs/>
        </w:rPr>
        <w:t>§</w:t>
      </w:r>
      <w:r>
        <w:rPr>
          <w:b/>
          <w:bCs/>
        </w:rPr>
        <w:t xml:space="preserve"> 3</w:t>
      </w:r>
    </w:p>
    <w:p w14:paraId="459CED40" w14:textId="77777777" w:rsidR="00E61B05" w:rsidRPr="003830CA" w:rsidRDefault="00A167AA" w:rsidP="003830CA">
      <w:pPr>
        <w:pStyle w:val="Nagwek2"/>
        <w:spacing w:after="360"/>
      </w:pPr>
      <w:bookmarkStart w:id="7" w:name="_Toc71277917"/>
      <w:r w:rsidRPr="0004137A">
        <w:t xml:space="preserve">Zakres </w:t>
      </w:r>
      <w:bookmarkEnd w:id="6"/>
      <w:r w:rsidR="003E05D4" w:rsidRPr="0004137A">
        <w:t>ujawnianych informacji</w:t>
      </w:r>
      <w:bookmarkEnd w:id="7"/>
    </w:p>
    <w:p w14:paraId="30468824" w14:textId="77777777" w:rsidR="00E9223F" w:rsidRPr="0004137A" w:rsidRDefault="003E05D4" w:rsidP="00AA5161">
      <w:pPr>
        <w:numPr>
          <w:ilvl w:val="0"/>
          <w:numId w:val="14"/>
        </w:numPr>
        <w:spacing w:line="360" w:lineRule="auto"/>
        <w:ind w:left="426" w:hanging="357"/>
        <w:jc w:val="both"/>
      </w:pPr>
      <w:r w:rsidRPr="0004137A">
        <w:t>Bank</w:t>
      </w:r>
      <w:r w:rsidR="00447EF7" w:rsidRPr="0004137A">
        <w:t xml:space="preserve"> </w:t>
      </w:r>
      <w:r w:rsidRPr="0004137A">
        <w:t>przekazuje do publicznej wiadomości informacje zgodnie z:</w:t>
      </w:r>
    </w:p>
    <w:p w14:paraId="1CE1A964" w14:textId="77777777" w:rsidR="00AC64F6" w:rsidRDefault="00971DB2" w:rsidP="0027429F">
      <w:pPr>
        <w:numPr>
          <w:ilvl w:val="0"/>
          <w:numId w:val="7"/>
        </w:numPr>
        <w:spacing w:line="360" w:lineRule="auto"/>
        <w:ind w:left="1069"/>
        <w:jc w:val="both"/>
      </w:pPr>
      <w:r w:rsidRPr="0004137A">
        <w:t>r</w:t>
      </w:r>
      <w:r w:rsidR="009975A1" w:rsidRPr="0004137A">
        <w:t xml:space="preserve">ozporządzeniem </w:t>
      </w:r>
      <w:r w:rsidR="00AC64F6" w:rsidRPr="0004137A">
        <w:t>Parlamentu Europejskiego i Rady (UE) nr 575/2013 z dnia 26</w:t>
      </w:r>
      <w:r w:rsidR="009975A1" w:rsidRPr="0004137A">
        <w:t xml:space="preserve"> czerwca </w:t>
      </w:r>
      <w:r w:rsidR="00AC64F6" w:rsidRPr="0004137A">
        <w:t xml:space="preserve">2013 r. w sprawie wymogów ostrożnościowych dla instytucji kredytowych i firm </w:t>
      </w:r>
      <w:r w:rsidR="00511353" w:rsidRPr="0004137A">
        <w:t>inwestycyjnych</w:t>
      </w:r>
      <w:r w:rsidR="009975A1" w:rsidRPr="0004137A">
        <w:t xml:space="preserve"> (dalej: „CRR”) wraz z aktami</w:t>
      </w:r>
      <w:r w:rsidR="009B5CAB" w:rsidRPr="0004137A">
        <w:t xml:space="preserve"> zmieniającymi,</w:t>
      </w:r>
      <w:r w:rsidR="009975A1" w:rsidRPr="0004137A">
        <w:t xml:space="preserve"> wykonawczymi i delegowanymi do CRR</w:t>
      </w:r>
      <w:r w:rsidR="00511353" w:rsidRPr="0004137A">
        <w:t>;</w:t>
      </w:r>
    </w:p>
    <w:p w14:paraId="24BECDC8" w14:textId="08AE8ACC" w:rsidR="00A2426A" w:rsidRPr="0004137A" w:rsidRDefault="000333A4" w:rsidP="0027429F">
      <w:pPr>
        <w:numPr>
          <w:ilvl w:val="0"/>
          <w:numId w:val="7"/>
        </w:numPr>
        <w:spacing w:line="360" w:lineRule="auto"/>
        <w:ind w:left="1069"/>
        <w:jc w:val="both"/>
      </w:pPr>
      <w:r>
        <w:t>rozporządzeniem wykonawczym Komisji 2021/637 z dnia 15 marca 2021 r. ustanawiającym wykonawcze standardy techniczne w odniesieniu do publicznego ujawniania przez instytucje informacji, o których mowa w części ósmej tytułach II i III Rozporządzenia CRR, oraz uchylającym rozporządzenie wykonawcze Komisji (UE) nr 1423/2013, rozporządzenie delegowane Komisji (UE) 2015/1555, rozporządzenie wykonawcze Komisji (UE) 2016/200 i rozporządzenie delegowane Komisji (UE) 2017/2295, z późniejszymi zmianami (</w:t>
      </w:r>
      <w:r w:rsidR="00655621">
        <w:t xml:space="preserve">dalej </w:t>
      </w:r>
      <w:r>
        <w:t>„</w:t>
      </w:r>
      <w:r w:rsidR="00655621">
        <w:t>r</w:t>
      </w:r>
      <w:r>
        <w:t>ozporządzenie 2021/637”),</w:t>
      </w:r>
    </w:p>
    <w:p w14:paraId="182C32C7" w14:textId="7029B73A" w:rsidR="00F867B8" w:rsidRPr="0004137A" w:rsidRDefault="00DA2488" w:rsidP="0027429F">
      <w:pPr>
        <w:pStyle w:val="Tekstpodstawowy2"/>
        <w:numPr>
          <w:ilvl w:val="0"/>
          <w:numId w:val="7"/>
        </w:numPr>
        <w:spacing w:after="0" w:line="360" w:lineRule="auto"/>
        <w:ind w:left="1069"/>
        <w:jc w:val="both"/>
        <w:rPr>
          <w:color w:val="000000"/>
        </w:rPr>
      </w:pPr>
      <w:r w:rsidRPr="0004137A">
        <w:rPr>
          <w:color w:val="000000"/>
          <w:lang w:val="pl-PL"/>
        </w:rPr>
        <w:t xml:space="preserve">ustawą z dnia 29 sierpnia 1997 r. </w:t>
      </w:r>
      <w:r w:rsidR="00433D2E" w:rsidRPr="0004137A">
        <w:rPr>
          <w:color w:val="000000"/>
        </w:rPr>
        <w:t xml:space="preserve">Prawo bankowe </w:t>
      </w:r>
      <w:r w:rsidR="00C26C26" w:rsidRPr="0004137A">
        <w:rPr>
          <w:color w:val="000000"/>
          <w:lang w:val="pl-PL"/>
        </w:rPr>
        <w:t>(dalej: „Prawo Bankowe”)</w:t>
      </w:r>
      <w:r w:rsidR="00433D2E" w:rsidRPr="0004137A">
        <w:rPr>
          <w:color w:val="000000"/>
        </w:rPr>
        <w:t>;</w:t>
      </w:r>
    </w:p>
    <w:p w14:paraId="72A4C0C6" w14:textId="601699F1" w:rsidR="004C1856" w:rsidRPr="0004137A" w:rsidRDefault="004C1856" w:rsidP="0027429F">
      <w:pPr>
        <w:pStyle w:val="Tekstpodstawowy2"/>
        <w:numPr>
          <w:ilvl w:val="0"/>
          <w:numId w:val="7"/>
        </w:numPr>
        <w:spacing w:after="0" w:line="360" w:lineRule="auto"/>
        <w:ind w:left="1069"/>
        <w:jc w:val="both"/>
        <w:rPr>
          <w:color w:val="000000"/>
        </w:rPr>
      </w:pPr>
      <w:r w:rsidRPr="0004137A">
        <w:rPr>
          <w:color w:val="000000"/>
          <w:lang w:val="pl-PL"/>
        </w:rPr>
        <w:t>ustawą z dnia 5 sierpnia 2015 r. o nadzorze makroostrożnościowym nad systemem finansowym i zarządzaniu kryzysowym w systemie finansowym;</w:t>
      </w:r>
    </w:p>
    <w:p w14:paraId="35846CE2" w14:textId="77777777" w:rsidR="00DA2488" w:rsidRPr="0004137A" w:rsidRDefault="00C26C26" w:rsidP="0027429F">
      <w:pPr>
        <w:numPr>
          <w:ilvl w:val="0"/>
          <w:numId w:val="7"/>
        </w:numPr>
        <w:spacing w:line="360" w:lineRule="auto"/>
        <w:ind w:left="1069"/>
        <w:jc w:val="both"/>
      </w:pPr>
      <w:r w:rsidRPr="0004137A">
        <w:t xml:space="preserve">Rekomendacją </w:t>
      </w:r>
      <w:r w:rsidR="00DA2488" w:rsidRPr="0004137A">
        <w:t>H</w:t>
      </w:r>
      <w:r w:rsidRPr="0004137A">
        <w:t xml:space="preserve"> Komisji Nadzoru Finansowego dotyczącą systemu kontroli wewnętrznej w bankach</w:t>
      </w:r>
      <w:r w:rsidR="006D4123" w:rsidRPr="0004137A">
        <w:t>,</w:t>
      </w:r>
      <w:r w:rsidRPr="0004137A">
        <w:t xml:space="preserve"> </w:t>
      </w:r>
      <w:r w:rsidR="006D4123" w:rsidRPr="0004137A">
        <w:t xml:space="preserve">stanowiącą załącznik do Uchwały nr 141/2017 Komisji Nadzoru Finansowego z dnia 25 kwietnia 2017 r. </w:t>
      </w:r>
      <w:r w:rsidRPr="0004137A">
        <w:t>(dalej: „Rekomendacja H”)</w:t>
      </w:r>
      <w:r w:rsidR="009A6E49">
        <w:t>;</w:t>
      </w:r>
    </w:p>
    <w:p w14:paraId="3451E4CE" w14:textId="77777777" w:rsidR="00DA2488" w:rsidRPr="0004137A" w:rsidRDefault="006D4123" w:rsidP="0027429F">
      <w:pPr>
        <w:numPr>
          <w:ilvl w:val="0"/>
          <w:numId w:val="7"/>
        </w:numPr>
        <w:spacing w:line="360" w:lineRule="auto"/>
        <w:ind w:left="1069"/>
        <w:jc w:val="both"/>
      </w:pPr>
      <w:r w:rsidRPr="0004137A">
        <w:lastRenderedPageBreak/>
        <w:t xml:space="preserve">Rekomendacją </w:t>
      </w:r>
      <w:r w:rsidR="00DA2488" w:rsidRPr="0004137A">
        <w:t>M</w:t>
      </w:r>
      <w:r w:rsidRPr="0004137A">
        <w:t xml:space="preserve"> Komisji Nadzoru Finansowego dotycząca zarządzania ryzykiem operacyjnym w bankach, stanowiącą załącznik do Uchwały nr 8/2013 Komisji Nadzoru Finansowego z dnia 8 stycznia 2013 r. (dalej: „Rekomendacja M”);</w:t>
      </w:r>
    </w:p>
    <w:p w14:paraId="44C39059" w14:textId="77777777" w:rsidR="00FE24AE" w:rsidRDefault="006D4123" w:rsidP="0027429F">
      <w:pPr>
        <w:numPr>
          <w:ilvl w:val="0"/>
          <w:numId w:val="7"/>
        </w:numPr>
        <w:spacing w:line="360" w:lineRule="auto"/>
        <w:ind w:left="1069"/>
        <w:jc w:val="both"/>
      </w:pPr>
      <w:r w:rsidRPr="0004137A">
        <w:t>Rekomendacją P Komisji Nadzoru Finansowego dotyczącą zarządzania ryzykiem płynności finansowej banków, stanowiącą załącznik do Uchwały nr 59/2015 Komisji Nadzoru Finansowego</w:t>
      </w:r>
      <w:r w:rsidR="006C5700" w:rsidRPr="0004137A">
        <w:t xml:space="preserve"> </w:t>
      </w:r>
      <w:r w:rsidR="00FE24AE" w:rsidRPr="0004137A">
        <w:t xml:space="preserve">z </w:t>
      </w:r>
      <w:r w:rsidR="006C5700" w:rsidRPr="0004137A">
        <w:t xml:space="preserve">dnia </w:t>
      </w:r>
      <w:r w:rsidR="00FE24AE" w:rsidRPr="0004137A">
        <w:t>10</w:t>
      </w:r>
      <w:r w:rsidR="006C5700" w:rsidRPr="0004137A">
        <w:t xml:space="preserve"> marca </w:t>
      </w:r>
      <w:r w:rsidR="00FE24AE" w:rsidRPr="0004137A">
        <w:t>2015 r</w:t>
      </w:r>
      <w:r w:rsidR="006C5700" w:rsidRPr="0004137A">
        <w:t>. (dalej: „Rekomendacja P”)</w:t>
      </w:r>
      <w:r w:rsidR="001D12B5" w:rsidRPr="0004137A">
        <w:t>;</w:t>
      </w:r>
    </w:p>
    <w:p w14:paraId="1D85742F" w14:textId="77777777" w:rsidR="001868BB" w:rsidRPr="0004137A" w:rsidRDefault="001868BB" w:rsidP="001868BB">
      <w:pPr>
        <w:numPr>
          <w:ilvl w:val="0"/>
          <w:numId w:val="7"/>
        </w:numPr>
        <w:spacing w:line="360" w:lineRule="auto"/>
        <w:ind w:left="1069"/>
        <w:jc w:val="both"/>
      </w:pPr>
      <w:r>
        <w:t>Rekomendacją Z Komisji Nadzoru Finansowego dotyczącą zasad ładu wewnętrznego w bankach, stanowiącą załącznik do Uchwały nr 289/2020 Komisji Nadzoru Finansowego z dnia 9 października 2020 r. (dalej: „Rekomendacja Z”);</w:t>
      </w:r>
    </w:p>
    <w:p w14:paraId="23C6FE5A" w14:textId="77777777" w:rsidR="00DA2488" w:rsidRPr="0004137A" w:rsidRDefault="001D12B5" w:rsidP="0027429F">
      <w:pPr>
        <w:numPr>
          <w:ilvl w:val="0"/>
          <w:numId w:val="7"/>
        </w:numPr>
        <w:spacing w:line="360" w:lineRule="auto"/>
        <w:ind w:left="1069"/>
        <w:jc w:val="both"/>
      </w:pPr>
      <w:r w:rsidRPr="0004137A">
        <w:t>wytycznymi Europejskiego Urzędu Nadzoru Bankowego</w:t>
      </w:r>
      <w:r w:rsidR="00B643F5" w:rsidRPr="0004137A">
        <w:t xml:space="preserve"> (dalej: „EUNB”)</w:t>
      </w:r>
      <w:r w:rsidRPr="0004137A">
        <w:t xml:space="preserve"> </w:t>
      </w:r>
      <w:r w:rsidR="00FC6EBB">
        <w:br/>
      </w:r>
      <w:r w:rsidRPr="0004137A">
        <w:t>w sprawie wymogów dotyczących ujawniania informacji na mocy części ósmej CRR (EBA/GL/2016/11)</w:t>
      </w:r>
      <w:r w:rsidR="001759C5">
        <w:t xml:space="preserve"> (dalej: „Wytyczne EUNB 2016/11”)</w:t>
      </w:r>
      <w:r w:rsidR="00B643F5" w:rsidRPr="0004137A">
        <w:t>;</w:t>
      </w:r>
    </w:p>
    <w:p w14:paraId="24187CEB" w14:textId="77777777" w:rsidR="00B643F5" w:rsidRPr="0004137A" w:rsidRDefault="00B643F5" w:rsidP="0027429F">
      <w:pPr>
        <w:numPr>
          <w:ilvl w:val="0"/>
          <w:numId w:val="7"/>
        </w:numPr>
        <w:spacing w:line="360" w:lineRule="auto"/>
        <w:ind w:left="1069"/>
        <w:jc w:val="both"/>
      </w:pPr>
      <w:r w:rsidRPr="0004137A">
        <w:t xml:space="preserve">wytycznymi EUNB w sprawie </w:t>
      </w:r>
      <w:r w:rsidR="00DE1EDB" w:rsidRPr="0004137A">
        <w:t>istotności, zastrzeżonego charakteru i poufności ujawnianych informacji oraz częstotliwości ujawniania zgodnie z art. 432 ust. 1, art. 432 ust. 2 i art. 433 CRR (EBA/GL/2014/14)</w:t>
      </w:r>
      <w:r w:rsidR="009B3C59" w:rsidRPr="0004137A">
        <w:t xml:space="preserve"> (dalej: „Wytyczne EUNB </w:t>
      </w:r>
      <w:r w:rsidR="00902BD0" w:rsidRPr="0004137A">
        <w:t>2014/14</w:t>
      </w:r>
      <w:r w:rsidR="009B3C59" w:rsidRPr="0004137A">
        <w:t>”)</w:t>
      </w:r>
      <w:r w:rsidR="00857C0D" w:rsidRPr="0004137A">
        <w:t>;</w:t>
      </w:r>
    </w:p>
    <w:p w14:paraId="5A7CFC04" w14:textId="77777777" w:rsidR="00857C0D" w:rsidRPr="0004137A" w:rsidRDefault="0035756C" w:rsidP="0027429F">
      <w:pPr>
        <w:numPr>
          <w:ilvl w:val="0"/>
          <w:numId w:val="7"/>
        </w:numPr>
        <w:spacing w:line="360" w:lineRule="auto"/>
        <w:ind w:left="1069"/>
        <w:jc w:val="both"/>
      </w:pPr>
      <w:r w:rsidRPr="0004137A">
        <w:t>wytycznymi</w:t>
      </w:r>
      <w:r w:rsidR="00857C0D" w:rsidRPr="0004137A">
        <w:t xml:space="preserve"> EUNB w sprawie jednolitego ujawniania na podstawie art. 473a CRR informacji na temat rozwiązań przejściowych w zakresie łagodzenia skutków wprowadzenia MSSF 9 względem funduszy własnych (EBA/GL/2018/01);</w:t>
      </w:r>
    </w:p>
    <w:p w14:paraId="07DD0B96" w14:textId="77777777" w:rsidR="00F67AEA" w:rsidRPr="0004137A" w:rsidRDefault="0035756C" w:rsidP="0027429F">
      <w:pPr>
        <w:numPr>
          <w:ilvl w:val="0"/>
          <w:numId w:val="7"/>
        </w:numPr>
        <w:spacing w:line="360" w:lineRule="auto"/>
        <w:ind w:left="1069"/>
        <w:jc w:val="both"/>
      </w:pPr>
      <w:r w:rsidRPr="0004137A">
        <w:t>wytycznymi</w:t>
      </w:r>
      <w:r w:rsidR="00857C0D" w:rsidRPr="0004137A">
        <w:t xml:space="preserve"> EUNB dotycząc</w:t>
      </w:r>
      <w:r w:rsidR="00F67AEA" w:rsidRPr="0004137A">
        <w:t>ymi</w:t>
      </w:r>
      <w:r w:rsidR="00857C0D" w:rsidRPr="0004137A">
        <w:t xml:space="preserve"> ujawnienia w zakresie ekspozycji nieobsługiwanych i restrukturyzowanych (EBA/GL/2018/10)</w:t>
      </w:r>
      <w:r w:rsidR="00D23662">
        <w:t>;</w:t>
      </w:r>
    </w:p>
    <w:p w14:paraId="46121CB5" w14:textId="77777777" w:rsidR="00732581" w:rsidRDefault="00DD74FA" w:rsidP="0027429F">
      <w:pPr>
        <w:numPr>
          <w:ilvl w:val="0"/>
          <w:numId w:val="7"/>
        </w:numPr>
        <w:spacing w:line="360" w:lineRule="auto"/>
        <w:ind w:left="1069"/>
        <w:jc w:val="both"/>
      </w:pPr>
      <w:r w:rsidRPr="0004137A">
        <w:t xml:space="preserve">wytycznymi EUNB w sprawie ujawniania informacji o aktywach obciążonych </w:t>
      </w:r>
      <w:r w:rsidR="00FC6EBB">
        <w:br/>
      </w:r>
      <w:r w:rsidRPr="0004137A">
        <w:t>i aktywach wolnych od obciążeń (E</w:t>
      </w:r>
      <w:r w:rsidR="00D744BF" w:rsidRPr="0004137A">
        <w:t>B</w:t>
      </w:r>
      <w:r w:rsidRPr="0004137A">
        <w:t>A/GL/2014/03);</w:t>
      </w:r>
    </w:p>
    <w:p w14:paraId="3FE433D4" w14:textId="77777777" w:rsidR="00DD74FA" w:rsidRPr="0004137A" w:rsidRDefault="00D744BF" w:rsidP="0027429F">
      <w:pPr>
        <w:numPr>
          <w:ilvl w:val="0"/>
          <w:numId w:val="7"/>
        </w:numPr>
        <w:spacing w:line="360" w:lineRule="auto"/>
        <w:ind w:left="1069"/>
        <w:jc w:val="both"/>
      </w:pPr>
      <w:r w:rsidRPr="0004137A">
        <w:t xml:space="preserve">wytycznymi EUNB w sprawie ujawniania wskaźnika pokrycia wypływów netto </w:t>
      </w:r>
      <w:r w:rsidR="00FC6EBB">
        <w:br/>
      </w:r>
      <w:r w:rsidRPr="0004137A">
        <w:t>w uzupełnieniu do ujawniania informacji na temat zarządzania ryzykiem płynności na podstawie art. 435 CRR (EBA/GL/2017/01);</w:t>
      </w:r>
    </w:p>
    <w:p w14:paraId="30A53152" w14:textId="77777777" w:rsidR="00D744BF" w:rsidRDefault="009B5CAB" w:rsidP="0027429F">
      <w:pPr>
        <w:numPr>
          <w:ilvl w:val="0"/>
          <w:numId w:val="7"/>
        </w:numPr>
        <w:spacing w:line="360" w:lineRule="auto"/>
        <w:ind w:left="1069"/>
        <w:jc w:val="both"/>
      </w:pPr>
      <w:r w:rsidRPr="0004137A">
        <w:t xml:space="preserve">wytycznymi EUNB dotyczącymi sprawozdawczości i ujawniania informacji </w:t>
      </w:r>
      <w:r w:rsidR="00FC6EBB">
        <w:br/>
      </w:r>
      <w:r w:rsidRPr="0004137A">
        <w:t>o ekspozycjach objętych działaniami stosowanymi w odpowiedzi na kryzys spowodowany przez COVID-19 (EBA/GL/2020/07)</w:t>
      </w:r>
      <w:r w:rsidR="007A647E">
        <w:t xml:space="preserve"> (dalej: „Wytyczne EUNB 2020/07)</w:t>
      </w:r>
      <w:r w:rsidRPr="0004137A">
        <w:t>;</w:t>
      </w:r>
    </w:p>
    <w:p w14:paraId="4C61E071" w14:textId="467D61E4" w:rsidR="007A647E" w:rsidRPr="0004137A" w:rsidRDefault="007A647E" w:rsidP="0027429F">
      <w:pPr>
        <w:numPr>
          <w:ilvl w:val="0"/>
          <w:numId w:val="7"/>
        </w:numPr>
        <w:spacing w:line="360" w:lineRule="auto"/>
        <w:ind w:left="1069"/>
        <w:jc w:val="both"/>
      </w:pPr>
      <w:r>
        <w:t xml:space="preserve">wytycznymi EUNB </w:t>
      </w:r>
      <w:r w:rsidRPr="007A647E">
        <w:t>dotycząc</w:t>
      </w:r>
      <w:r>
        <w:t>ymi</w:t>
      </w:r>
      <w:r w:rsidRPr="007A647E">
        <w:t xml:space="preserve"> ustawowych i pozaustawowych moratoriów na spłaty kredytów, stosowanych w obliczu kryzysu spowodowanego przez COVID-19</w:t>
      </w:r>
      <w:r>
        <w:t xml:space="preserve"> (</w:t>
      </w:r>
      <w:r w:rsidRPr="007A647E">
        <w:t>EBA/GL/2020/02</w:t>
      </w:r>
      <w:r>
        <w:t xml:space="preserve">) (dalej: </w:t>
      </w:r>
      <w:r w:rsidR="00F214BE">
        <w:t>„</w:t>
      </w:r>
      <w:r>
        <w:t>Wytyczne EUNB 2020/02</w:t>
      </w:r>
      <w:r w:rsidR="00F214BE">
        <w:t>”</w:t>
      </w:r>
      <w:r>
        <w:t>);</w:t>
      </w:r>
    </w:p>
    <w:p w14:paraId="61EC3E18" w14:textId="77777777" w:rsidR="009B5CAB" w:rsidRDefault="009B5CAB" w:rsidP="0027429F">
      <w:pPr>
        <w:numPr>
          <w:ilvl w:val="0"/>
          <w:numId w:val="7"/>
        </w:numPr>
        <w:spacing w:line="360" w:lineRule="auto"/>
        <w:ind w:left="1069"/>
        <w:jc w:val="both"/>
      </w:pPr>
      <w:r w:rsidRPr="0004137A">
        <w:t xml:space="preserve">wytycznymi EUNB dotyczącymi sprawozdawczości nadzorczej i ujawniania informacji zgodnie z ukierunkowanymi zmianami rozporządzenia CRR </w:t>
      </w:r>
      <w:r w:rsidRPr="0004137A">
        <w:lastRenderedPageBreak/>
        <w:t>wprowadzonymi w trybie przyspieszonym w odpowiedzi na pandemię COVID-19 (EBA/GL/2020/11) (dalej: „Wytyczne EUNB 2020/11”)</w:t>
      </w:r>
      <w:r w:rsidR="000217EF">
        <w:t>;</w:t>
      </w:r>
    </w:p>
    <w:p w14:paraId="3F16FFE7" w14:textId="3B68B9EA" w:rsidR="00BE1B15" w:rsidRDefault="00BE1B15" w:rsidP="0027429F">
      <w:pPr>
        <w:numPr>
          <w:ilvl w:val="0"/>
          <w:numId w:val="7"/>
        </w:numPr>
        <w:spacing w:line="360" w:lineRule="auto"/>
        <w:ind w:left="1069"/>
        <w:jc w:val="both"/>
      </w:pPr>
      <w:r>
        <w:t>wytycznymi</w:t>
      </w:r>
      <w:r w:rsidRPr="00BE1B15">
        <w:t xml:space="preserve"> EUNB zmieniający</w:t>
      </w:r>
      <w:r>
        <w:t>mi</w:t>
      </w:r>
      <w:r w:rsidRPr="00BE1B15">
        <w:t xml:space="preserve"> wytyczne EBA/GL/2018/01 w sprawie jednolitego ujawniania na podstawie art. 473a CRR informacji na temat okresu przejściowego służącego łagodzeniu skutków wprowadzenia MSSF 9 względem funduszy własnych w celu zapewnienia zgodności z ukierunkowanymi zmianami CRR wprowadzonymi w trybie przyśpieszonym w odpowiedzi na pandemię COVID-19 (</w:t>
      </w:r>
      <w:r w:rsidR="007539AB">
        <w:t>EBA</w:t>
      </w:r>
      <w:r w:rsidRPr="00BE1B15">
        <w:t>/GL/2020/12)</w:t>
      </w:r>
      <w:r w:rsidR="0072037E">
        <w:t xml:space="preserve"> </w:t>
      </w:r>
      <w:r w:rsidR="0072037E" w:rsidRPr="0004137A">
        <w:t xml:space="preserve">(dalej: „Wytyczne </w:t>
      </w:r>
      <w:r w:rsidR="00524494" w:rsidRPr="00BE1B15">
        <w:t>EBA/GL/2018/01</w:t>
      </w:r>
      <w:r w:rsidR="0072037E" w:rsidRPr="0004137A">
        <w:t>”)</w:t>
      </w:r>
      <w:r>
        <w:t>;</w:t>
      </w:r>
    </w:p>
    <w:p w14:paraId="4A22491D" w14:textId="37D6C481" w:rsidR="00F214BE" w:rsidRDefault="00941206" w:rsidP="0027429F">
      <w:pPr>
        <w:numPr>
          <w:ilvl w:val="0"/>
          <w:numId w:val="7"/>
        </w:numPr>
        <w:spacing w:line="360" w:lineRule="auto"/>
        <w:ind w:left="1069"/>
        <w:jc w:val="both"/>
      </w:pPr>
      <w:r>
        <w:t>wytyczny</w:t>
      </w:r>
      <w:r w:rsidR="002873A8">
        <w:t>mi</w:t>
      </w:r>
      <w:r>
        <w:t xml:space="preserve"> EUNB dotyczący</w:t>
      </w:r>
      <w:r w:rsidR="002873A8">
        <w:t>mi</w:t>
      </w:r>
      <w:r>
        <w:t xml:space="preserve"> prawidłowej polityki wynagrodzeń na mocy dyrektywy 2013/36/UE</w:t>
      </w:r>
      <w:r w:rsidR="00F540A1">
        <w:t xml:space="preserve"> (EUNB/GL/2021/04)</w:t>
      </w:r>
      <w:r w:rsidR="0072037E">
        <w:t xml:space="preserve"> </w:t>
      </w:r>
      <w:r w:rsidR="0072037E" w:rsidRPr="0004137A">
        <w:t xml:space="preserve">(dalej: „Wytyczne </w:t>
      </w:r>
      <w:r w:rsidR="004A0EA3">
        <w:t>EUNB/GL/2021/04</w:t>
      </w:r>
      <w:r w:rsidR="0072037E" w:rsidRPr="0004137A">
        <w:t>”)</w:t>
      </w:r>
      <w:r w:rsidR="0072037E">
        <w:t>;</w:t>
      </w:r>
      <w:r>
        <w:t xml:space="preserve"> </w:t>
      </w:r>
    </w:p>
    <w:p w14:paraId="115A2FCA" w14:textId="2E8A769A" w:rsidR="00CB7799" w:rsidRDefault="00CB45C0" w:rsidP="0027429F">
      <w:pPr>
        <w:numPr>
          <w:ilvl w:val="0"/>
          <w:numId w:val="7"/>
        </w:numPr>
        <w:spacing w:line="360" w:lineRule="auto"/>
        <w:ind w:left="1069"/>
        <w:jc w:val="both"/>
      </w:pPr>
      <w:r>
        <w:t>w</w:t>
      </w:r>
      <w:r w:rsidR="00941206">
        <w:t>ytyczn</w:t>
      </w:r>
      <w:r>
        <w:t>ymi</w:t>
      </w:r>
      <w:r w:rsidR="00941206">
        <w:t xml:space="preserve"> </w:t>
      </w:r>
      <w:r w:rsidR="002971C2">
        <w:t xml:space="preserve">EUNB </w:t>
      </w:r>
      <w:r w:rsidR="00941206">
        <w:t>w sprawie procesu gromadzenia danych dotyczących osób o wysokich zarobkach na mocy dyrektywy 2013/36/UE i dyrektywy (UE) 2019/2034</w:t>
      </w:r>
      <w:r w:rsidR="002971C2">
        <w:t xml:space="preserve"> </w:t>
      </w:r>
      <w:r w:rsidR="00CB7799">
        <w:t xml:space="preserve">(EBA/GL/2022/08) </w:t>
      </w:r>
      <w:r w:rsidR="00CB7799" w:rsidRPr="0004137A">
        <w:t xml:space="preserve">(dalej: „Wytyczne </w:t>
      </w:r>
      <w:r w:rsidR="00F44360">
        <w:t>EBA/GL/2022/08</w:t>
      </w:r>
      <w:r w:rsidR="00CB7799" w:rsidRPr="0004137A">
        <w:t>”)</w:t>
      </w:r>
      <w:r w:rsidR="00CB7799">
        <w:t>;</w:t>
      </w:r>
    </w:p>
    <w:p w14:paraId="70640AF2" w14:textId="4917566D" w:rsidR="000217EF" w:rsidRDefault="00CB7799" w:rsidP="0027429F">
      <w:pPr>
        <w:numPr>
          <w:ilvl w:val="0"/>
          <w:numId w:val="7"/>
        </w:numPr>
        <w:spacing w:line="360" w:lineRule="auto"/>
        <w:ind w:left="1069"/>
        <w:jc w:val="both"/>
      </w:pPr>
      <w:r>
        <w:t>w</w:t>
      </w:r>
      <w:r w:rsidR="00941206">
        <w:t>ytyczn</w:t>
      </w:r>
      <w:r w:rsidR="00245E9B">
        <w:t>ymi</w:t>
      </w:r>
      <w:r>
        <w:t xml:space="preserve"> </w:t>
      </w:r>
      <w:r w:rsidR="00245E9B">
        <w:t>EUNB</w:t>
      </w:r>
      <w:r w:rsidR="00941206">
        <w:t xml:space="preserve"> dotyczący</w:t>
      </w:r>
      <w:r w:rsidR="00245E9B">
        <w:t>mi</w:t>
      </w:r>
      <w:r w:rsidR="00941206">
        <w:t xml:space="preserve"> analiz porównawczych praktyk w dziedzinie wynagrodzeń, zróżnicowania wynagrodzenia ze względu na płeć oraz zatwierdzonych wyższych stosunków zmiennych składników wynagrodzenia do składników stałych na podstawie dyrektywy 2013/36/UE</w:t>
      </w:r>
      <w:r w:rsidR="00245E9B">
        <w:t xml:space="preserve"> (EBA/GL/2022/06) </w:t>
      </w:r>
      <w:r w:rsidR="00245E9B" w:rsidRPr="0004137A">
        <w:t xml:space="preserve">(dalej: „Wytyczne </w:t>
      </w:r>
      <w:r w:rsidR="00627EF6">
        <w:t>EBA/GL/2022/06</w:t>
      </w:r>
      <w:r w:rsidR="00245E9B" w:rsidRPr="0004137A">
        <w:t>”)</w:t>
      </w:r>
      <w:r w:rsidR="00245E9B">
        <w:t>.</w:t>
      </w:r>
    </w:p>
    <w:p w14:paraId="4904D170" w14:textId="77777777" w:rsidR="00CB6CBD" w:rsidRPr="0004137A" w:rsidRDefault="00CB6CBD" w:rsidP="00AA5161">
      <w:pPr>
        <w:numPr>
          <w:ilvl w:val="0"/>
          <w:numId w:val="14"/>
        </w:numPr>
        <w:spacing w:line="360" w:lineRule="auto"/>
        <w:ind w:left="426"/>
        <w:jc w:val="both"/>
      </w:pPr>
      <w:r w:rsidRPr="0004137A">
        <w:t>Ujawniane przez Bank informacje dotyczą w szczególności:</w:t>
      </w:r>
    </w:p>
    <w:p w14:paraId="58E38257" w14:textId="4A69F959" w:rsidR="00CB6CBD" w:rsidRPr="0004137A" w:rsidRDefault="00CB6CBD" w:rsidP="0027429F">
      <w:pPr>
        <w:pStyle w:val="Tekstpodstawowy"/>
        <w:numPr>
          <w:ilvl w:val="0"/>
          <w:numId w:val="15"/>
        </w:numPr>
        <w:spacing w:line="360" w:lineRule="auto"/>
        <w:rPr>
          <w:position w:val="0"/>
        </w:rPr>
      </w:pPr>
      <w:r w:rsidRPr="0004137A">
        <w:rPr>
          <w:position w:val="0"/>
          <w:lang w:val="pl-PL"/>
        </w:rPr>
        <w:t xml:space="preserve">celów i </w:t>
      </w:r>
      <w:r w:rsidR="004D666A">
        <w:rPr>
          <w:position w:val="0"/>
          <w:lang w:val="pl-PL"/>
        </w:rPr>
        <w:t>polityk</w:t>
      </w:r>
      <w:r w:rsidRPr="0004137A">
        <w:rPr>
          <w:position w:val="0"/>
          <w:lang w:val="pl-PL"/>
        </w:rPr>
        <w:t xml:space="preserve"> w zakresie zarządzania ryzykiem oddzielnie dla każdej kategorii ryzyka, w tym rodzajów ryzyka (art. 435 CRR);</w:t>
      </w:r>
    </w:p>
    <w:p w14:paraId="2B0C167A" w14:textId="77777777" w:rsidR="00C83766" w:rsidRPr="0004137A" w:rsidRDefault="00CB6CBD" w:rsidP="0027429F">
      <w:pPr>
        <w:pStyle w:val="Tekstpodstawowy"/>
        <w:numPr>
          <w:ilvl w:val="0"/>
          <w:numId w:val="15"/>
        </w:numPr>
        <w:spacing w:line="360" w:lineRule="auto"/>
        <w:rPr>
          <w:position w:val="0"/>
        </w:rPr>
      </w:pPr>
      <w:r w:rsidRPr="0004137A">
        <w:rPr>
          <w:position w:val="0"/>
          <w:lang w:val="pl-PL"/>
        </w:rPr>
        <w:t>zakresu stosowania wymogów CRR (art. 436 CRR);</w:t>
      </w:r>
    </w:p>
    <w:p w14:paraId="09C71C1E" w14:textId="77777777" w:rsidR="00C83766" w:rsidRPr="0004137A" w:rsidRDefault="00CB6CBD" w:rsidP="0027429F">
      <w:pPr>
        <w:pStyle w:val="Tekstpodstawowy"/>
        <w:numPr>
          <w:ilvl w:val="0"/>
          <w:numId w:val="15"/>
        </w:numPr>
        <w:spacing w:line="360" w:lineRule="auto"/>
        <w:rPr>
          <w:position w:val="0"/>
        </w:rPr>
      </w:pPr>
      <w:r w:rsidRPr="0004137A">
        <w:rPr>
          <w:position w:val="0"/>
          <w:lang w:val="pl-PL"/>
        </w:rPr>
        <w:t xml:space="preserve">funduszy własnych (art. 437 </w:t>
      </w:r>
      <w:r w:rsidR="00A51160" w:rsidRPr="0004137A">
        <w:rPr>
          <w:position w:val="0"/>
          <w:lang w:val="pl-PL"/>
        </w:rPr>
        <w:t>z uwzględnieniem</w:t>
      </w:r>
      <w:r w:rsidRPr="0004137A">
        <w:rPr>
          <w:position w:val="0"/>
          <w:lang w:val="pl-PL"/>
        </w:rPr>
        <w:t xml:space="preserve"> art. 492 ust. 4 CRR);</w:t>
      </w:r>
    </w:p>
    <w:p w14:paraId="368E5D8D" w14:textId="77777777" w:rsidR="00C83766" w:rsidRPr="0004137A" w:rsidRDefault="008E1DAF" w:rsidP="0027429F">
      <w:pPr>
        <w:pStyle w:val="Tekstpodstawowy"/>
        <w:numPr>
          <w:ilvl w:val="0"/>
          <w:numId w:val="15"/>
        </w:numPr>
        <w:spacing w:line="360" w:lineRule="auto"/>
        <w:rPr>
          <w:position w:val="0"/>
        </w:rPr>
      </w:pPr>
      <w:r w:rsidRPr="008E1DAF">
        <w:rPr>
          <w:position w:val="0"/>
          <w:lang w:val="pl-PL"/>
        </w:rPr>
        <w:t>wymogów w zakresie funduszy własnych i kwot ekspozycji ważonych ryzykiem</w:t>
      </w:r>
      <w:r w:rsidRPr="008E1DAF" w:rsidDel="008E1DAF">
        <w:rPr>
          <w:position w:val="0"/>
          <w:lang w:val="pl-PL"/>
        </w:rPr>
        <w:t xml:space="preserve"> </w:t>
      </w:r>
      <w:r w:rsidR="00CB6CBD" w:rsidRPr="0004137A">
        <w:rPr>
          <w:position w:val="0"/>
          <w:lang w:val="pl-PL"/>
        </w:rPr>
        <w:t>(art. 438 CRR);</w:t>
      </w:r>
    </w:p>
    <w:p w14:paraId="0EA7BBF9" w14:textId="77777777" w:rsidR="00C83766" w:rsidRPr="0004137A" w:rsidRDefault="00CB6CBD" w:rsidP="0027429F">
      <w:pPr>
        <w:pStyle w:val="Tekstpodstawowy"/>
        <w:numPr>
          <w:ilvl w:val="0"/>
          <w:numId w:val="15"/>
        </w:numPr>
        <w:spacing w:line="360" w:lineRule="auto"/>
        <w:rPr>
          <w:position w:val="0"/>
        </w:rPr>
      </w:pPr>
      <w:r w:rsidRPr="0004137A">
        <w:rPr>
          <w:position w:val="0"/>
          <w:lang w:val="pl-PL"/>
        </w:rPr>
        <w:t>ekspozycji na ryzyko kredytowe kontrahenta (art. 439 CRR);</w:t>
      </w:r>
    </w:p>
    <w:p w14:paraId="53E2F973" w14:textId="77777777" w:rsidR="00C83766" w:rsidRPr="0004137A" w:rsidRDefault="00CB6CBD" w:rsidP="0027429F">
      <w:pPr>
        <w:pStyle w:val="Tekstpodstawowy"/>
        <w:numPr>
          <w:ilvl w:val="0"/>
          <w:numId w:val="15"/>
        </w:numPr>
        <w:spacing w:line="360" w:lineRule="auto"/>
        <w:rPr>
          <w:position w:val="0"/>
        </w:rPr>
      </w:pPr>
      <w:r w:rsidRPr="0004137A">
        <w:rPr>
          <w:position w:val="0"/>
          <w:lang w:val="pl-PL"/>
        </w:rPr>
        <w:t>przestrzegania wymogu w zakresie bufora antycyklicznego (art. 440 CRR);</w:t>
      </w:r>
    </w:p>
    <w:p w14:paraId="4588A13F" w14:textId="4951FE30" w:rsidR="00C83766" w:rsidRPr="00056176" w:rsidRDefault="00CB6CBD" w:rsidP="00381F7D">
      <w:pPr>
        <w:pStyle w:val="Tekstpodstawowy"/>
        <w:numPr>
          <w:ilvl w:val="0"/>
          <w:numId w:val="15"/>
        </w:numPr>
        <w:spacing w:line="360" w:lineRule="auto"/>
        <w:rPr>
          <w:position w:val="0"/>
          <w:lang w:val="pl-PL"/>
        </w:rPr>
      </w:pPr>
      <w:r w:rsidRPr="0004137A">
        <w:rPr>
          <w:position w:val="0"/>
          <w:lang w:val="pl-PL"/>
        </w:rPr>
        <w:t>ekspozycji na ryzyko kredytowe i ryzyko rozmycia</w:t>
      </w:r>
      <w:r w:rsidR="00381F7D">
        <w:rPr>
          <w:position w:val="0"/>
          <w:lang w:val="pl-PL"/>
        </w:rPr>
        <w:t xml:space="preserve"> </w:t>
      </w:r>
      <w:r w:rsidR="00381F7D" w:rsidRPr="00381F7D">
        <w:rPr>
          <w:position w:val="0"/>
          <w:lang w:val="pl-PL"/>
        </w:rPr>
        <w:t xml:space="preserve">oraz ekspozycji nieobsługiwanych i restrukturyzowanych </w:t>
      </w:r>
      <w:r w:rsidRPr="00381F7D">
        <w:rPr>
          <w:position w:val="0"/>
          <w:lang w:val="pl-PL"/>
        </w:rPr>
        <w:t>(art. 442 CRR</w:t>
      </w:r>
      <w:r w:rsidR="00381F7D">
        <w:rPr>
          <w:position w:val="0"/>
          <w:lang w:val="pl-PL"/>
        </w:rPr>
        <w:t xml:space="preserve">; Rekomendacja </w:t>
      </w:r>
      <w:r w:rsidR="00BE0EDA">
        <w:rPr>
          <w:position w:val="0"/>
          <w:lang w:val="pl-PL"/>
        </w:rPr>
        <w:t>R</w:t>
      </w:r>
      <w:r w:rsidRPr="00381F7D">
        <w:rPr>
          <w:position w:val="0"/>
          <w:lang w:val="pl-PL"/>
        </w:rPr>
        <w:t>);</w:t>
      </w:r>
    </w:p>
    <w:p w14:paraId="259EBA04" w14:textId="77777777" w:rsidR="00C83766" w:rsidRPr="0004137A" w:rsidRDefault="00CB6CBD" w:rsidP="0027429F">
      <w:pPr>
        <w:pStyle w:val="Tekstpodstawowy"/>
        <w:numPr>
          <w:ilvl w:val="0"/>
          <w:numId w:val="15"/>
        </w:numPr>
        <w:spacing w:line="360" w:lineRule="auto"/>
        <w:rPr>
          <w:position w:val="0"/>
        </w:rPr>
      </w:pPr>
      <w:r w:rsidRPr="0004137A">
        <w:rPr>
          <w:position w:val="0"/>
          <w:lang w:val="pl-PL"/>
        </w:rPr>
        <w:t xml:space="preserve">aktywów </w:t>
      </w:r>
      <w:r w:rsidR="008E1DAF">
        <w:rPr>
          <w:position w:val="0"/>
          <w:lang w:val="pl-PL"/>
        </w:rPr>
        <w:t xml:space="preserve">obciążonych i </w:t>
      </w:r>
      <w:r w:rsidRPr="0004137A">
        <w:rPr>
          <w:position w:val="0"/>
          <w:lang w:val="pl-PL"/>
        </w:rPr>
        <w:t>wolnych od obciążeń (art. 443 CRR);</w:t>
      </w:r>
    </w:p>
    <w:p w14:paraId="5552F3E8" w14:textId="6D05F739" w:rsidR="00C83766" w:rsidRPr="0004137A" w:rsidRDefault="00CB6CBD" w:rsidP="0027429F">
      <w:pPr>
        <w:pStyle w:val="Tekstpodstawowy"/>
        <w:numPr>
          <w:ilvl w:val="0"/>
          <w:numId w:val="15"/>
        </w:numPr>
        <w:spacing w:line="360" w:lineRule="auto"/>
        <w:rPr>
          <w:position w:val="0"/>
        </w:rPr>
      </w:pPr>
      <w:r w:rsidRPr="0004137A">
        <w:rPr>
          <w:position w:val="0"/>
          <w:lang w:val="pl-PL"/>
        </w:rPr>
        <w:t xml:space="preserve">korzystania z </w:t>
      </w:r>
      <w:r w:rsidRPr="0004137A">
        <w:rPr>
          <w:position w:val="0"/>
        </w:rPr>
        <w:t>zewnętrzn</w:t>
      </w:r>
      <w:r w:rsidRPr="0004137A">
        <w:rPr>
          <w:position w:val="0"/>
          <w:lang w:val="pl-PL"/>
        </w:rPr>
        <w:t>ej</w:t>
      </w:r>
      <w:r w:rsidRPr="0004137A">
        <w:rPr>
          <w:position w:val="0"/>
        </w:rPr>
        <w:t xml:space="preserve"> instytucj</w:t>
      </w:r>
      <w:r w:rsidRPr="0004137A">
        <w:rPr>
          <w:position w:val="0"/>
          <w:lang w:val="pl-PL"/>
        </w:rPr>
        <w:t>i</w:t>
      </w:r>
      <w:r w:rsidRPr="0004137A">
        <w:rPr>
          <w:position w:val="0"/>
        </w:rPr>
        <w:t xml:space="preserve"> oceny wiarygodności kredytowej</w:t>
      </w:r>
      <w:r w:rsidRPr="0004137A">
        <w:rPr>
          <w:position w:val="0"/>
          <w:lang w:val="pl-PL"/>
        </w:rPr>
        <w:t xml:space="preserve"> (ECAI) (art. 444 CRR);</w:t>
      </w:r>
    </w:p>
    <w:p w14:paraId="6A63FDEB" w14:textId="4719C722" w:rsidR="00C83766" w:rsidRPr="00EE2064" w:rsidRDefault="00CB6CBD" w:rsidP="0027429F">
      <w:pPr>
        <w:pStyle w:val="Tekstpodstawowy"/>
        <w:numPr>
          <w:ilvl w:val="0"/>
          <w:numId w:val="15"/>
        </w:numPr>
        <w:spacing w:line="360" w:lineRule="auto"/>
        <w:rPr>
          <w:position w:val="0"/>
        </w:rPr>
      </w:pPr>
      <w:r w:rsidRPr="0004137A">
        <w:rPr>
          <w:position w:val="0"/>
          <w:lang w:val="pl-PL"/>
        </w:rPr>
        <w:t>ekspozycji na ryzyko rynkowe</w:t>
      </w:r>
      <w:r w:rsidR="00645471">
        <w:rPr>
          <w:position w:val="0"/>
          <w:lang w:val="pl-PL"/>
        </w:rPr>
        <w:t xml:space="preserve"> w ramach metody standardowej</w:t>
      </w:r>
      <w:r w:rsidRPr="0004137A">
        <w:rPr>
          <w:position w:val="0"/>
          <w:lang w:val="pl-PL"/>
        </w:rPr>
        <w:t xml:space="preserve"> (art. 445 CRR);</w:t>
      </w:r>
    </w:p>
    <w:p w14:paraId="520189FF" w14:textId="3048FECD" w:rsidR="00645471" w:rsidRPr="0004137A" w:rsidRDefault="00645471" w:rsidP="0027429F">
      <w:pPr>
        <w:pStyle w:val="Tekstpodstawowy"/>
        <w:numPr>
          <w:ilvl w:val="0"/>
          <w:numId w:val="15"/>
        </w:numPr>
        <w:spacing w:line="360" w:lineRule="auto"/>
        <w:rPr>
          <w:position w:val="0"/>
        </w:rPr>
      </w:pPr>
      <w:r>
        <w:rPr>
          <w:position w:val="0"/>
          <w:lang w:val="pl-PL"/>
        </w:rPr>
        <w:lastRenderedPageBreak/>
        <w:t>ryzyka związanego z CVA (art. 445a CRR);</w:t>
      </w:r>
    </w:p>
    <w:p w14:paraId="19111D21" w14:textId="2676B93F" w:rsidR="00C83766" w:rsidRPr="0004137A" w:rsidRDefault="008E1DAF" w:rsidP="0027429F">
      <w:pPr>
        <w:pStyle w:val="Tekstpodstawowy"/>
        <w:numPr>
          <w:ilvl w:val="0"/>
          <w:numId w:val="15"/>
        </w:numPr>
        <w:spacing w:line="360" w:lineRule="auto"/>
        <w:rPr>
          <w:position w:val="0"/>
        </w:rPr>
      </w:pPr>
      <w:r>
        <w:rPr>
          <w:position w:val="0"/>
          <w:lang w:val="pl-PL"/>
        </w:rPr>
        <w:t>ryzyk</w:t>
      </w:r>
      <w:r w:rsidR="00645471">
        <w:rPr>
          <w:position w:val="0"/>
          <w:lang w:val="pl-PL"/>
        </w:rPr>
        <w:t>a</w:t>
      </w:r>
      <w:r>
        <w:rPr>
          <w:position w:val="0"/>
          <w:lang w:val="pl-PL"/>
        </w:rPr>
        <w:t xml:space="preserve"> </w:t>
      </w:r>
      <w:r w:rsidR="00CB6CBD" w:rsidRPr="0004137A">
        <w:rPr>
          <w:position w:val="0"/>
          <w:lang w:val="pl-PL"/>
        </w:rPr>
        <w:t>operacyjn</w:t>
      </w:r>
      <w:r w:rsidR="00645471">
        <w:rPr>
          <w:position w:val="0"/>
          <w:lang w:val="pl-PL"/>
        </w:rPr>
        <w:t>ego</w:t>
      </w:r>
      <w:r>
        <w:rPr>
          <w:position w:val="0"/>
          <w:lang w:val="pl-PL"/>
        </w:rPr>
        <w:t xml:space="preserve"> </w:t>
      </w:r>
      <w:r w:rsidR="00CB6CBD" w:rsidRPr="0004137A">
        <w:rPr>
          <w:position w:val="0"/>
          <w:lang w:val="pl-PL"/>
        </w:rPr>
        <w:t xml:space="preserve">(art. </w:t>
      </w:r>
      <w:r w:rsidR="00CE0965" w:rsidRPr="00CE0965">
        <w:rPr>
          <w:position w:val="0"/>
          <w:lang w:val="pl-PL"/>
        </w:rPr>
        <w:t xml:space="preserve">435, 446 i 454 </w:t>
      </w:r>
      <w:r w:rsidR="00CB6CBD" w:rsidRPr="0004137A">
        <w:rPr>
          <w:position w:val="0"/>
          <w:lang w:val="pl-PL"/>
        </w:rPr>
        <w:t xml:space="preserve"> CRR</w:t>
      </w:r>
      <w:r w:rsidR="00D26AD1">
        <w:rPr>
          <w:position w:val="0"/>
          <w:lang w:val="pl-PL"/>
        </w:rPr>
        <w:t xml:space="preserve">, </w:t>
      </w:r>
      <w:r w:rsidR="00C83766" w:rsidRPr="0004137A">
        <w:rPr>
          <w:position w:val="0"/>
          <w:lang w:val="pl-PL"/>
        </w:rPr>
        <w:t>Rekomendacja M 17)</w:t>
      </w:r>
      <w:r w:rsidR="00CB6CBD" w:rsidRPr="0004137A">
        <w:rPr>
          <w:position w:val="0"/>
          <w:lang w:val="pl-PL"/>
        </w:rPr>
        <w:t>;</w:t>
      </w:r>
    </w:p>
    <w:p w14:paraId="40973F06" w14:textId="77777777" w:rsidR="00B007C4" w:rsidRPr="0004137A" w:rsidRDefault="00B007C4" w:rsidP="0027429F">
      <w:pPr>
        <w:pStyle w:val="Tekstpodstawowy"/>
        <w:numPr>
          <w:ilvl w:val="0"/>
          <w:numId w:val="15"/>
        </w:numPr>
        <w:spacing w:line="360" w:lineRule="auto"/>
        <w:rPr>
          <w:position w:val="0"/>
        </w:rPr>
      </w:pPr>
      <w:r>
        <w:rPr>
          <w:position w:val="0"/>
          <w:lang w:val="pl-PL"/>
        </w:rPr>
        <w:t>najważniejszych wskaźników (art. 447 CRR);</w:t>
      </w:r>
    </w:p>
    <w:p w14:paraId="0559A053" w14:textId="77777777" w:rsidR="00C83766" w:rsidRPr="00D511EB" w:rsidRDefault="00CB6CBD" w:rsidP="0027429F">
      <w:pPr>
        <w:pStyle w:val="Tekstpodstawowy"/>
        <w:numPr>
          <w:ilvl w:val="0"/>
          <w:numId w:val="15"/>
        </w:numPr>
        <w:spacing w:line="360" w:lineRule="auto"/>
        <w:rPr>
          <w:position w:val="0"/>
        </w:rPr>
      </w:pPr>
      <w:r w:rsidRPr="0004137A">
        <w:rPr>
          <w:position w:val="0"/>
          <w:lang w:val="pl-PL"/>
        </w:rPr>
        <w:t>ekspozycji na ryzyko stopy procentowej przypisane pozycjom nieuwzględnionym w portfelu handlowym (art. 448 CRR);</w:t>
      </w:r>
    </w:p>
    <w:p w14:paraId="17BF057F" w14:textId="7F5334DC" w:rsidR="00D629B6" w:rsidRPr="00EE2064" w:rsidRDefault="008718CD" w:rsidP="00EF5AC5">
      <w:pPr>
        <w:pStyle w:val="Tekstpodstawowy"/>
        <w:numPr>
          <w:ilvl w:val="0"/>
          <w:numId w:val="15"/>
        </w:numPr>
        <w:spacing w:line="360" w:lineRule="auto"/>
        <w:rPr>
          <w:position w:val="0"/>
        </w:rPr>
      </w:pPr>
      <w:r w:rsidRPr="008718CD">
        <w:rPr>
          <w:position w:val="0"/>
        </w:rPr>
        <w:t xml:space="preserve">ryzyk </w:t>
      </w:r>
      <w:r w:rsidR="00645471">
        <w:rPr>
          <w:position w:val="0"/>
        </w:rPr>
        <w:t>środowiskowych</w:t>
      </w:r>
      <w:r w:rsidRPr="008718CD">
        <w:rPr>
          <w:position w:val="0"/>
        </w:rPr>
        <w:t>, społeczn</w:t>
      </w:r>
      <w:r w:rsidR="00645471">
        <w:rPr>
          <w:position w:val="0"/>
        </w:rPr>
        <w:t>ych</w:t>
      </w:r>
      <w:r w:rsidRPr="008718CD">
        <w:rPr>
          <w:position w:val="0"/>
        </w:rPr>
        <w:t xml:space="preserve"> i </w:t>
      </w:r>
      <w:r w:rsidR="00645471">
        <w:rPr>
          <w:position w:val="0"/>
        </w:rPr>
        <w:t xml:space="preserve">zakresu </w:t>
      </w:r>
      <w:r w:rsidRPr="008718CD">
        <w:rPr>
          <w:position w:val="0"/>
        </w:rPr>
        <w:t xml:space="preserve">ładu korporacyjnego </w:t>
      </w:r>
      <w:r w:rsidR="0058078E">
        <w:rPr>
          <w:position w:val="0"/>
          <w:lang w:val="pl-PL"/>
        </w:rPr>
        <w:t xml:space="preserve"> </w:t>
      </w:r>
      <w:r w:rsidRPr="00EF5AC5">
        <w:rPr>
          <w:position w:val="0"/>
        </w:rPr>
        <w:t>ryzyk ESG</w:t>
      </w:r>
      <w:r w:rsidR="0058078E" w:rsidRPr="00EF5AC5">
        <w:rPr>
          <w:position w:val="0"/>
          <w:lang w:val="pl-PL"/>
        </w:rPr>
        <w:t xml:space="preserve"> (art. 449a CRR);</w:t>
      </w:r>
    </w:p>
    <w:p w14:paraId="6CB9E31A" w14:textId="547FEB1B" w:rsidR="009B72B1" w:rsidRPr="00EF5AC5" w:rsidRDefault="009B72B1" w:rsidP="00EF5AC5">
      <w:pPr>
        <w:pStyle w:val="Tekstpodstawowy"/>
        <w:numPr>
          <w:ilvl w:val="0"/>
          <w:numId w:val="15"/>
        </w:numPr>
        <w:spacing w:line="360" w:lineRule="auto"/>
        <w:rPr>
          <w:position w:val="0"/>
        </w:rPr>
      </w:pPr>
      <w:r>
        <w:rPr>
          <w:position w:val="0"/>
          <w:lang w:val="pl-PL"/>
        </w:rPr>
        <w:t>łącznej ekspozycji wobec podmiotów z równorzędnego systemu bankowego (449b CRR);</w:t>
      </w:r>
    </w:p>
    <w:p w14:paraId="5A684D25" w14:textId="0688E4B5" w:rsidR="00C83766" w:rsidRPr="0004137A" w:rsidRDefault="00D65EBE" w:rsidP="0027429F">
      <w:pPr>
        <w:pStyle w:val="Tekstpodstawowy"/>
        <w:numPr>
          <w:ilvl w:val="0"/>
          <w:numId w:val="15"/>
        </w:numPr>
        <w:spacing w:line="360" w:lineRule="auto"/>
        <w:rPr>
          <w:position w:val="0"/>
        </w:rPr>
      </w:pPr>
      <w:r>
        <w:t>zasad ustalania polityki wynagrodzeń, w tym dla osób mających istotny wpływ na profil ryzyka oraz sprawujących funkcje kontrolne (art. 450 Rozporządzenia CRR i opublikowane wytyczne EBA/GL/2022/06, EBA/GL/2022/08 i EUNB/GL/2021/04 oraz postanowienia Rekomendacji Z</w:t>
      </w:r>
      <w:r w:rsidR="00040FF4">
        <w:t xml:space="preserve"> </w:t>
      </w:r>
      <w:r w:rsidR="00040FF4" w:rsidRPr="00040FF4">
        <w:t>15.3.</w:t>
      </w:r>
      <w:r>
        <w:t>), w szczególności informacji odnośnie określonego w zasadach wynagradzania w Banku, maksymalnego stosunku średniego całkowitego wynagrodzenia brutto członków zarządu w okresie rocznym do średniego całkowitego wynagrodzenia brutto pozostałych pracowników Banku w okresie rocznym,</w:t>
      </w:r>
      <w:r w:rsidR="00363AE7">
        <w:t xml:space="preserve"> powołania komitetu do spraw </w:t>
      </w:r>
      <w:r w:rsidR="00CB6CBD" w:rsidRPr="0004137A">
        <w:rPr>
          <w:position w:val="0"/>
          <w:lang w:val="pl-PL"/>
        </w:rPr>
        <w:t>wynagrodzeń, a także spełniania przez członków Rady Nadzorczej i Zarządu wymogów określonych w art. 22aa Prawa Bankowego (art. 111a ust. 4 Prawa Bankowego);</w:t>
      </w:r>
    </w:p>
    <w:p w14:paraId="6E6458BC" w14:textId="77777777" w:rsidR="00C83766" w:rsidRPr="00EE2064" w:rsidRDefault="00CB6CBD" w:rsidP="0027429F">
      <w:pPr>
        <w:pStyle w:val="Tekstpodstawowy"/>
        <w:numPr>
          <w:ilvl w:val="0"/>
          <w:numId w:val="15"/>
        </w:numPr>
        <w:spacing w:line="360" w:lineRule="auto"/>
        <w:rPr>
          <w:position w:val="0"/>
        </w:rPr>
      </w:pPr>
      <w:r w:rsidRPr="0004137A">
        <w:rPr>
          <w:position w:val="0"/>
          <w:lang w:val="pl-PL"/>
        </w:rPr>
        <w:t>wskaźnika dźwigni finansowej (art. 451 CRR);</w:t>
      </w:r>
    </w:p>
    <w:p w14:paraId="1AAD0B67" w14:textId="22D476DE" w:rsidR="00C83766" w:rsidRPr="00EE2064" w:rsidRDefault="00CB6CBD" w:rsidP="0027429F">
      <w:pPr>
        <w:pStyle w:val="Tekstpodstawowy"/>
        <w:numPr>
          <w:ilvl w:val="0"/>
          <w:numId w:val="15"/>
        </w:numPr>
        <w:spacing w:line="360" w:lineRule="auto"/>
        <w:rPr>
          <w:position w:val="0"/>
        </w:rPr>
      </w:pPr>
      <w:r w:rsidRPr="0004137A">
        <w:rPr>
          <w:position w:val="0"/>
          <w:lang w:val="pl-PL"/>
        </w:rPr>
        <w:t>technik ograniczenia ryzyka kredytowego (art. 453 CRR);</w:t>
      </w:r>
    </w:p>
    <w:p w14:paraId="531D6ED5" w14:textId="75EBE499" w:rsidR="004D666A" w:rsidRPr="0004137A" w:rsidRDefault="004D666A" w:rsidP="0027429F">
      <w:pPr>
        <w:pStyle w:val="Tekstpodstawowy"/>
        <w:numPr>
          <w:ilvl w:val="0"/>
          <w:numId w:val="15"/>
        </w:numPr>
        <w:spacing w:line="360" w:lineRule="auto"/>
        <w:rPr>
          <w:position w:val="0"/>
        </w:rPr>
      </w:pPr>
      <w:r>
        <w:rPr>
          <w:position w:val="0"/>
          <w:lang w:val="pl-PL"/>
        </w:rPr>
        <w:t>stosowania wewnętrznych modeli pomiaru ryzyka rynkowego (art. 455 CRR);</w:t>
      </w:r>
    </w:p>
    <w:p w14:paraId="7B9B1F7E" w14:textId="0D3DA9D9" w:rsidR="00C83766" w:rsidRPr="0004137A" w:rsidRDefault="00CB6CBD" w:rsidP="0027429F">
      <w:pPr>
        <w:pStyle w:val="Tekstpodstawowy"/>
        <w:numPr>
          <w:ilvl w:val="0"/>
          <w:numId w:val="15"/>
        </w:numPr>
        <w:spacing w:line="360" w:lineRule="auto"/>
        <w:rPr>
          <w:position w:val="0"/>
        </w:rPr>
      </w:pPr>
      <w:r w:rsidRPr="0004137A">
        <w:rPr>
          <w:position w:val="0"/>
        </w:rPr>
        <w:t>opis</w:t>
      </w:r>
      <w:r w:rsidRPr="0004137A">
        <w:rPr>
          <w:position w:val="0"/>
          <w:lang w:val="pl-PL"/>
        </w:rPr>
        <w:t>u</w:t>
      </w:r>
      <w:r w:rsidRPr="0004137A">
        <w:rPr>
          <w:position w:val="0"/>
        </w:rPr>
        <w:t xml:space="preserve"> systemu zarządzania, w tym systemu zarządzania ryzykiem i systemu kontroli wewnętrznej </w:t>
      </w:r>
      <w:r w:rsidRPr="0004137A">
        <w:rPr>
          <w:position w:val="0"/>
          <w:lang w:val="pl-PL"/>
        </w:rPr>
        <w:t>(art. 111a ust. 4 Prawa Bankowego</w:t>
      </w:r>
      <w:r w:rsidR="00BF03A7">
        <w:rPr>
          <w:position w:val="0"/>
          <w:lang w:val="pl-PL"/>
        </w:rPr>
        <w:t>,</w:t>
      </w:r>
      <w:r w:rsidRPr="0004137A">
        <w:rPr>
          <w:position w:val="0"/>
          <w:lang w:val="pl-PL"/>
        </w:rPr>
        <w:t xml:space="preserve"> Rekomendacja H 1.11);</w:t>
      </w:r>
    </w:p>
    <w:p w14:paraId="09142401" w14:textId="77777777" w:rsidR="006C322A" w:rsidRPr="007E620E" w:rsidRDefault="00531766" w:rsidP="0027429F">
      <w:pPr>
        <w:pStyle w:val="Tekstpodstawowy"/>
        <w:numPr>
          <w:ilvl w:val="0"/>
          <w:numId w:val="15"/>
        </w:numPr>
        <w:spacing w:line="360" w:lineRule="auto"/>
        <w:rPr>
          <w:position w:val="0"/>
        </w:rPr>
      </w:pPr>
      <w:r>
        <w:rPr>
          <w:position w:val="0"/>
          <w:lang w:val="pl-PL"/>
        </w:rPr>
        <w:t xml:space="preserve">wymogów dotyczących płynności (art. 451a CRR) oraz </w:t>
      </w:r>
      <w:r w:rsidR="00CB6CBD" w:rsidRPr="0004137A">
        <w:rPr>
          <w:position w:val="0"/>
          <w:lang w:val="pl-PL"/>
        </w:rPr>
        <w:t>systemu zarządzania ryzykiem płynności Banku oraz pozycji płynności Banku (Rekomendacja P 18);</w:t>
      </w:r>
    </w:p>
    <w:p w14:paraId="64B5FE52" w14:textId="77777777" w:rsidR="007A647E" w:rsidRPr="00763F23" w:rsidRDefault="007A647E" w:rsidP="0027429F">
      <w:pPr>
        <w:pStyle w:val="Tekstpodstawowy"/>
        <w:numPr>
          <w:ilvl w:val="0"/>
          <w:numId w:val="15"/>
        </w:numPr>
        <w:spacing w:line="360" w:lineRule="auto"/>
        <w:rPr>
          <w:position w:val="0"/>
        </w:rPr>
      </w:pPr>
      <w:r w:rsidRPr="007A647E">
        <w:rPr>
          <w:position w:val="0"/>
        </w:rPr>
        <w:t>ekspozycj</w:t>
      </w:r>
      <w:r w:rsidR="00BD602F">
        <w:rPr>
          <w:position w:val="0"/>
          <w:lang w:val="pl-PL"/>
        </w:rPr>
        <w:t>i</w:t>
      </w:r>
      <w:r w:rsidRPr="007A647E">
        <w:rPr>
          <w:position w:val="0"/>
        </w:rPr>
        <w:t xml:space="preserve"> objętych zakresem Wytyczn</w:t>
      </w:r>
      <w:r>
        <w:rPr>
          <w:position w:val="0"/>
          <w:lang w:val="pl-PL"/>
        </w:rPr>
        <w:t>ych</w:t>
      </w:r>
      <w:r w:rsidRPr="007A647E">
        <w:rPr>
          <w:position w:val="0"/>
        </w:rPr>
        <w:t xml:space="preserve"> EUNB 2020/02 oraz o nowo powstałych ekspozycj</w:t>
      </w:r>
      <w:r w:rsidR="00BD602F">
        <w:rPr>
          <w:position w:val="0"/>
          <w:lang w:val="pl-PL"/>
        </w:rPr>
        <w:t>i</w:t>
      </w:r>
      <w:r w:rsidRPr="007A647E">
        <w:rPr>
          <w:position w:val="0"/>
        </w:rPr>
        <w:t xml:space="preserve"> objętych programami gwarancji publicznych</w:t>
      </w:r>
      <w:r>
        <w:rPr>
          <w:position w:val="0"/>
          <w:lang w:val="pl-PL"/>
        </w:rPr>
        <w:t xml:space="preserve"> (pkt 18 Wytycznych EUNB 2020/07)</w:t>
      </w:r>
      <w:r w:rsidR="007D573E">
        <w:rPr>
          <w:position w:val="0"/>
          <w:lang w:val="pl-PL"/>
        </w:rPr>
        <w:t>;</w:t>
      </w:r>
    </w:p>
    <w:p w14:paraId="454404FD" w14:textId="69ADDC8B" w:rsidR="00EF45E9" w:rsidRPr="00763F23" w:rsidRDefault="00EF45E9" w:rsidP="0027429F">
      <w:pPr>
        <w:pStyle w:val="Tekstpodstawowy"/>
        <w:numPr>
          <w:ilvl w:val="0"/>
          <w:numId w:val="15"/>
        </w:numPr>
        <w:spacing w:line="360" w:lineRule="auto"/>
        <w:rPr>
          <w:position w:val="0"/>
        </w:rPr>
      </w:pPr>
      <w:r w:rsidRPr="00E5154D">
        <w:rPr>
          <w:position w:val="0"/>
        </w:rPr>
        <w:t xml:space="preserve">rozwiązań przejściowych w zakresie łagodzenia skutków wprowadzenia Międzynarodowego Standardu Sprawozdawczości Finansowej 9 („MSSF 9”) </w:t>
      </w:r>
      <w:r w:rsidR="007C0898" w:rsidRPr="00E5154D">
        <w:rPr>
          <w:position w:val="0"/>
        </w:rPr>
        <w:t xml:space="preserve">względem funduszy własnych, aktywów ważonych ryzykiem, współczynników </w:t>
      </w:r>
      <w:r w:rsidR="007C0898" w:rsidRPr="00E5154D">
        <w:rPr>
          <w:position w:val="0"/>
        </w:rPr>
        <w:lastRenderedPageBreak/>
        <w:t>kapitałowych i wskaźnika dźwigni, zgodnie z art. 473a Rozporządzenia CRR oraz Wytycznymi EBA/GL/2018/01 i EBA/GL/2020/12</w:t>
      </w:r>
      <w:r w:rsidRPr="00E5154D">
        <w:rPr>
          <w:position w:val="0"/>
        </w:rPr>
        <w:t>;</w:t>
      </w:r>
    </w:p>
    <w:p w14:paraId="2F5BB089" w14:textId="119E462B" w:rsidR="00EF45E9" w:rsidRPr="00311BD1" w:rsidRDefault="00EF45E9" w:rsidP="0027429F">
      <w:pPr>
        <w:pStyle w:val="Tekstpodstawowy"/>
        <w:numPr>
          <w:ilvl w:val="0"/>
          <w:numId w:val="15"/>
        </w:numPr>
        <w:spacing w:line="360" w:lineRule="auto"/>
        <w:rPr>
          <w:position w:val="0"/>
        </w:rPr>
      </w:pPr>
      <w:r>
        <w:t xml:space="preserve">ekspozycji na ryzyko kredytowe </w:t>
      </w:r>
      <w:r w:rsidR="00535C0A">
        <w:t>(</w:t>
      </w:r>
      <w:r>
        <w:t>Rekomendacj</w:t>
      </w:r>
      <w:r w:rsidR="00535C0A">
        <w:t>a</w:t>
      </w:r>
      <w:r>
        <w:t xml:space="preserve"> R</w:t>
      </w:r>
      <w:r w:rsidR="00535C0A">
        <w:t>)</w:t>
      </w:r>
      <w:r>
        <w:t>;</w:t>
      </w:r>
    </w:p>
    <w:p w14:paraId="34EA8654" w14:textId="2D70687D" w:rsidR="007D573E" w:rsidRPr="00311BD1" w:rsidRDefault="003D6772" w:rsidP="0027429F">
      <w:pPr>
        <w:pStyle w:val="Tekstpodstawowy"/>
        <w:numPr>
          <w:ilvl w:val="0"/>
          <w:numId w:val="15"/>
        </w:numPr>
        <w:spacing w:line="360" w:lineRule="auto"/>
        <w:rPr>
          <w:position w:val="0"/>
        </w:rPr>
      </w:pPr>
      <w:r>
        <w:rPr>
          <w:position w:val="0"/>
          <w:lang w:val="pl-PL"/>
        </w:rPr>
        <w:t xml:space="preserve">przyjętej w Banku polityki zarządzania konfliktami interesów </w:t>
      </w:r>
      <w:r w:rsidR="00535C0A">
        <w:rPr>
          <w:position w:val="0"/>
          <w:lang w:val="pl-PL"/>
        </w:rPr>
        <w:t xml:space="preserve">(Rekomendacja </w:t>
      </w:r>
      <w:r>
        <w:rPr>
          <w:position w:val="0"/>
          <w:lang w:val="pl-PL"/>
        </w:rPr>
        <w:t>Z 13.6</w:t>
      </w:r>
      <w:r w:rsidR="00535C0A">
        <w:rPr>
          <w:position w:val="0"/>
          <w:lang w:val="pl-PL"/>
        </w:rPr>
        <w:t>)</w:t>
      </w:r>
      <w:r>
        <w:rPr>
          <w:position w:val="0"/>
          <w:lang w:val="pl-PL"/>
        </w:rPr>
        <w:t>.</w:t>
      </w:r>
      <w:r w:rsidR="00FE1F68">
        <w:rPr>
          <w:position w:val="0"/>
          <w:lang w:val="pl-PL"/>
        </w:rPr>
        <w:t>;</w:t>
      </w:r>
    </w:p>
    <w:p w14:paraId="243005A1" w14:textId="77777777" w:rsidR="00FE1F68" w:rsidRPr="00552FD9" w:rsidRDefault="00FE1F68" w:rsidP="0027429F">
      <w:pPr>
        <w:pStyle w:val="Tekstpodstawowy"/>
        <w:numPr>
          <w:ilvl w:val="0"/>
          <w:numId w:val="15"/>
        </w:numPr>
        <w:spacing w:line="360" w:lineRule="auto"/>
        <w:rPr>
          <w:position w:val="0"/>
        </w:rPr>
      </w:pPr>
      <w:r>
        <w:rPr>
          <w:position w:val="0"/>
          <w:lang w:val="pl-PL"/>
        </w:rPr>
        <w:t xml:space="preserve">udziału Członków Rady Nadzorczej w posiedzeniach tego organu </w:t>
      </w:r>
      <w:r w:rsidRPr="00552FD9">
        <w:rPr>
          <w:position w:val="0"/>
          <w:lang w:val="pl-PL"/>
        </w:rPr>
        <w:t xml:space="preserve">(Rekomendacja Z 8.8.). </w:t>
      </w:r>
    </w:p>
    <w:p w14:paraId="6154C568" w14:textId="1D63F694" w:rsidR="004E013D" w:rsidRPr="00552FD9" w:rsidRDefault="00E9223F" w:rsidP="00AA5161">
      <w:pPr>
        <w:numPr>
          <w:ilvl w:val="0"/>
          <w:numId w:val="14"/>
        </w:numPr>
        <w:spacing w:line="360" w:lineRule="auto"/>
        <w:ind w:left="426"/>
        <w:jc w:val="both"/>
      </w:pPr>
      <w:r w:rsidRPr="00552FD9">
        <w:t xml:space="preserve">Jeżeli </w:t>
      </w:r>
      <w:r w:rsidR="00CE0916" w:rsidRPr="00552FD9">
        <w:t>informacje ujawniane</w:t>
      </w:r>
      <w:r w:rsidR="003E05D4" w:rsidRPr="00552FD9">
        <w:t xml:space="preserve"> </w:t>
      </w:r>
      <w:r w:rsidR="00CE0916" w:rsidRPr="00552FD9">
        <w:t>przez Bank w zakresie określonym</w:t>
      </w:r>
      <w:r w:rsidR="003E05D4" w:rsidRPr="00552FD9">
        <w:t xml:space="preserve"> w ust. 1</w:t>
      </w:r>
      <w:r w:rsidR="00CE0916" w:rsidRPr="00552FD9">
        <w:t xml:space="preserve"> i 2</w:t>
      </w:r>
      <w:r w:rsidR="003E05D4" w:rsidRPr="00552FD9">
        <w:t xml:space="preserve"> powyżej</w:t>
      </w:r>
      <w:r w:rsidRPr="00552FD9">
        <w:t xml:space="preserve"> nie dostarczają uczestnikom rynku kompleksowego obrazu profilu ryzyka, Bank podaje do wiadomości publicznej </w:t>
      </w:r>
      <w:r w:rsidR="003E05D4" w:rsidRPr="00552FD9">
        <w:t xml:space="preserve">także </w:t>
      </w:r>
      <w:r w:rsidRPr="00552FD9">
        <w:t>inne niezbędne informacje.</w:t>
      </w:r>
      <w:bookmarkStart w:id="8" w:name="_Toc467760316"/>
    </w:p>
    <w:p w14:paraId="1EF74F94" w14:textId="241AB660" w:rsidR="001E6B2C" w:rsidRPr="00552FD9" w:rsidRDefault="001E6B2C" w:rsidP="00AA5161">
      <w:pPr>
        <w:numPr>
          <w:ilvl w:val="0"/>
          <w:numId w:val="14"/>
        </w:numPr>
        <w:spacing w:line="360" w:lineRule="auto"/>
        <w:ind w:left="426"/>
        <w:jc w:val="both"/>
      </w:pPr>
      <w:r w:rsidRPr="00552FD9">
        <w:t xml:space="preserve">Informacje </w:t>
      </w:r>
      <w:r w:rsidR="00BC40C9" w:rsidRPr="00552FD9">
        <w:t>z zakresu</w:t>
      </w:r>
      <w:r w:rsidR="00B919C1" w:rsidRPr="00552FD9">
        <w:t xml:space="preserve"> </w:t>
      </w:r>
      <w:r w:rsidRPr="00552FD9">
        <w:t xml:space="preserve">zrównoważonego rozwoju podlegające ujawnieniu </w:t>
      </w:r>
      <w:r w:rsidR="00B919C1" w:rsidRPr="00552FD9">
        <w:t xml:space="preserve">m.in. </w:t>
      </w:r>
      <w:r w:rsidRPr="00552FD9">
        <w:t>na podstawie rozporządzenia 2020/852 (Taksonomia)</w:t>
      </w:r>
      <w:r w:rsidR="00BC40C9" w:rsidRPr="00552FD9">
        <w:t>,</w:t>
      </w:r>
      <w:r w:rsidR="00B919C1" w:rsidRPr="00552FD9">
        <w:t xml:space="preserve"> rozporządzenia 2019/2088 (Rozporządzenia SFDR), ustawy o rachunkowości</w:t>
      </w:r>
      <w:r w:rsidR="00BC40C9" w:rsidRPr="00552FD9">
        <w:t xml:space="preserve"> </w:t>
      </w:r>
      <w:r w:rsidR="003870D7" w:rsidRPr="00552FD9">
        <w:t>przekazywane</w:t>
      </w:r>
      <w:r w:rsidRPr="00552FD9">
        <w:t xml:space="preserve"> są </w:t>
      </w:r>
      <w:r w:rsidR="003870D7" w:rsidRPr="00552FD9">
        <w:t xml:space="preserve">do wiadomości publicznej </w:t>
      </w:r>
      <w:r w:rsidRPr="00552FD9">
        <w:t>zgodnie z obowiązującą w Banku Polityką rachunkowości.</w:t>
      </w:r>
    </w:p>
    <w:p w14:paraId="0C261168" w14:textId="77777777" w:rsidR="00947916" w:rsidRPr="00552FD9" w:rsidRDefault="00947916" w:rsidP="00F60576">
      <w:pPr>
        <w:spacing w:line="360" w:lineRule="auto"/>
        <w:jc w:val="center"/>
      </w:pPr>
    </w:p>
    <w:p w14:paraId="2B768877" w14:textId="77777777" w:rsidR="00966EAD" w:rsidRPr="00552FD9" w:rsidRDefault="00F60576" w:rsidP="00F60576">
      <w:pPr>
        <w:spacing w:line="360" w:lineRule="auto"/>
        <w:jc w:val="center"/>
        <w:rPr>
          <w:b/>
          <w:bCs/>
        </w:rPr>
      </w:pPr>
      <w:r w:rsidRPr="00552FD9">
        <w:rPr>
          <w:b/>
          <w:bCs/>
        </w:rPr>
        <w:t>§ 4</w:t>
      </w:r>
    </w:p>
    <w:p w14:paraId="7D5E1438" w14:textId="77777777" w:rsidR="00A51160" w:rsidRPr="00552FD9" w:rsidRDefault="00A51160" w:rsidP="003830CA">
      <w:pPr>
        <w:pStyle w:val="Nagwek2"/>
        <w:spacing w:after="360"/>
      </w:pPr>
      <w:bookmarkStart w:id="9" w:name="_Toc71277918"/>
      <w:r w:rsidRPr="00552FD9">
        <w:t xml:space="preserve">Informacje niepodlegające </w:t>
      </w:r>
      <w:r w:rsidR="003C0135" w:rsidRPr="00552FD9">
        <w:t>ujawni</w:t>
      </w:r>
      <w:r w:rsidR="0004137A" w:rsidRPr="00552FD9">
        <w:t>a</w:t>
      </w:r>
      <w:r w:rsidR="003C0135" w:rsidRPr="00552FD9">
        <w:t>niu</w:t>
      </w:r>
      <w:bookmarkEnd w:id="9"/>
    </w:p>
    <w:p w14:paraId="1D3AA421" w14:textId="672DB187" w:rsidR="00A51160" w:rsidRPr="00552FD9" w:rsidRDefault="00434C4F" w:rsidP="0027429F">
      <w:pPr>
        <w:pStyle w:val="Tekstpodstawowy"/>
        <w:numPr>
          <w:ilvl w:val="0"/>
          <w:numId w:val="3"/>
        </w:numPr>
        <w:spacing w:line="360" w:lineRule="auto"/>
        <w:ind w:left="357" w:hanging="357"/>
        <w:rPr>
          <w:position w:val="0"/>
        </w:rPr>
      </w:pPr>
      <w:r w:rsidRPr="00552FD9">
        <w:rPr>
          <w:position w:val="0"/>
          <w:lang w:val="pl-PL"/>
        </w:rPr>
        <w:t>Ryzyk</w:t>
      </w:r>
      <w:r w:rsidR="00127AAC">
        <w:rPr>
          <w:position w:val="0"/>
          <w:lang w:val="pl-PL"/>
        </w:rPr>
        <w:t>o</w:t>
      </w:r>
      <w:r w:rsidRPr="00552FD9">
        <w:rPr>
          <w:position w:val="0"/>
          <w:lang w:val="pl-PL"/>
        </w:rPr>
        <w:t xml:space="preserve"> </w:t>
      </w:r>
      <w:r w:rsidR="00127AAC">
        <w:rPr>
          <w:position w:val="0"/>
          <w:lang w:val="pl-PL"/>
        </w:rPr>
        <w:t>b</w:t>
      </w:r>
      <w:r w:rsidRPr="00552FD9">
        <w:rPr>
          <w:position w:val="0"/>
          <w:lang w:val="pl-PL"/>
        </w:rPr>
        <w:t xml:space="preserve">ankowe w porozumieniu z </w:t>
      </w:r>
      <w:r w:rsidR="00127AAC">
        <w:rPr>
          <w:position w:val="0"/>
          <w:lang w:val="pl-PL"/>
        </w:rPr>
        <w:t>Rachunkowością i sprawozdawczością</w:t>
      </w:r>
      <w:r w:rsidRPr="00552FD9">
        <w:rPr>
          <w:position w:val="0"/>
          <w:lang w:val="pl-PL"/>
        </w:rPr>
        <w:t xml:space="preserve">, </w:t>
      </w:r>
      <w:r w:rsidR="00C3322F" w:rsidRPr="00552FD9">
        <w:rPr>
          <w:position w:val="0"/>
          <w:lang w:val="pl-PL"/>
        </w:rPr>
        <w:t>na podstawie informacji przedst</w:t>
      </w:r>
      <w:r w:rsidR="00846046" w:rsidRPr="00552FD9">
        <w:rPr>
          <w:position w:val="0"/>
          <w:lang w:val="pl-PL"/>
        </w:rPr>
        <w:t>a</w:t>
      </w:r>
      <w:r w:rsidR="00C3322F" w:rsidRPr="00552FD9">
        <w:rPr>
          <w:position w:val="0"/>
          <w:lang w:val="pl-PL"/>
        </w:rPr>
        <w:t xml:space="preserve">wianych przez właściwe komórki i osoby odpowiedzialne za realizację Polityki Ujawniania zgodnie z § 10, </w:t>
      </w:r>
      <w:r w:rsidR="00256933" w:rsidRPr="00552FD9">
        <w:rPr>
          <w:position w:val="0"/>
          <w:lang w:val="pl-PL"/>
        </w:rPr>
        <w:t>może zarekomendować pominięcie co najmniej jednej informacji podlegającej ogłoszeniu spośród informacji wskazanych w tytułach II i III CRR, jeżeli nie uznaje danej informacji za Informację Istotną</w:t>
      </w:r>
      <w:r w:rsidRPr="00552FD9">
        <w:rPr>
          <w:position w:val="0"/>
        </w:rPr>
        <w:t xml:space="preserve">, </w:t>
      </w:r>
      <w:r w:rsidR="00A51160" w:rsidRPr="00552FD9">
        <w:rPr>
          <w:position w:val="0"/>
          <w:lang w:val="pl-PL"/>
        </w:rPr>
        <w:t xml:space="preserve">z wyjątkiem informacji określonych w art. 435 ust. </w:t>
      </w:r>
      <w:r w:rsidR="00910C6C" w:rsidRPr="00552FD9">
        <w:rPr>
          <w:position w:val="0"/>
          <w:lang w:val="pl-PL"/>
        </w:rPr>
        <w:t>2</w:t>
      </w:r>
      <w:r w:rsidR="00A51160" w:rsidRPr="00552FD9">
        <w:rPr>
          <w:position w:val="0"/>
          <w:lang w:val="pl-PL"/>
        </w:rPr>
        <w:t xml:space="preserve"> lit. c) </w:t>
      </w:r>
      <w:r w:rsidR="00910C6C" w:rsidRPr="00552FD9">
        <w:rPr>
          <w:position w:val="0"/>
          <w:lang w:val="pl-PL"/>
        </w:rPr>
        <w:t xml:space="preserve">(dotyczących strategii w zakresie różnicowania członków organu zarządzającego), </w:t>
      </w:r>
      <w:r w:rsidR="00A51160" w:rsidRPr="00552FD9">
        <w:rPr>
          <w:position w:val="0"/>
          <w:lang w:val="pl-PL"/>
        </w:rPr>
        <w:t xml:space="preserve">art. 437 </w:t>
      </w:r>
      <w:r w:rsidR="00910C6C" w:rsidRPr="00552FD9">
        <w:rPr>
          <w:position w:val="0"/>
          <w:lang w:val="pl-PL"/>
        </w:rPr>
        <w:t>(dotyczących funduszy własnych) oraz</w:t>
      </w:r>
      <w:r w:rsidR="00A51160" w:rsidRPr="00552FD9">
        <w:rPr>
          <w:position w:val="0"/>
          <w:lang w:val="pl-PL"/>
        </w:rPr>
        <w:t xml:space="preserve"> </w:t>
      </w:r>
      <w:r w:rsidR="00910C6C" w:rsidRPr="00552FD9">
        <w:rPr>
          <w:position w:val="0"/>
          <w:lang w:val="pl-PL"/>
        </w:rPr>
        <w:t xml:space="preserve">art. </w:t>
      </w:r>
      <w:r w:rsidR="00A51160" w:rsidRPr="00552FD9">
        <w:rPr>
          <w:position w:val="0"/>
          <w:lang w:val="pl-PL"/>
        </w:rPr>
        <w:t>450</w:t>
      </w:r>
      <w:r w:rsidR="00910C6C" w:rsidRPr="00552FD9">
        <w:rPr>
          <w:position w:val="0"/>
          <w:lang w:val="pl-PL"/>
        </w:rPr>
        <w:t xml:space="preserve"> (dotyczących polityki w zakresie wynagrodzeń)</w:t>
      </w:r>
      <w:r w:rsidR="00A51160" w:rsidRPr="00552FD9">
        <w:rPr>
          <w:position w:val="0"/>
          <w:lang w:val="pl-PL"/>
        </w:rPr>
        <w:t xml:space="preserve"> CRR</w:t>
      </w:r>
      <w:r w:rsidRPr="00552FD9">
        <w:rPr>
          <w:position w:val="0"/>
          <w:lang w:val="pl-PL"/>
        </w:rPr>
        <w:t>.</w:t>
      </w:r>
      <w:r w:rsidR="00A51160" w:rsidRPr="00552FD9">
        <w:rPr>
          <w:position w:val="0"/>
          <w:lang w:val="pl-PL"/>
        </w:rPr>
        <w:t xml:space="preserve"> </w:t>
      </w:r>
      <w:r w:rsidR="001A5F85" w:rsidRPr="00552FD9">
        <w:rPr>
          <w:position w:val="0"/>
          <w:lang w:val="pl-PL"/>
        </w:rPr>
        <w:t>Pominięcie</w:t>
      </w:r>
      <w:r w:rsidR="000900F2" w:rsidRPr="00552FD9">
        <w:rPr>
          <w:position w:val="0"/>
          <w:lang w:val="pl-PL"/>
        </w:rPr>
        <w:t xml:space="preserve"> </w:t>
      </w:r>
      <w:r w:rsidR="001A5F85" w:rsidRPr="00552FD9">
        <w:rPr>
          <w:position w:val="0"/>
          <w:lang w:val="pl-PL"/>
        </w:rPr>
        <w:t xml:space="preserve">ujawnienia </w:t>
      </w:r>
      <w:r w:rsidR="000900F2" w:rsidRPr="00552FD9">
        <w:rPr>
          <w:position w:val="0"/>
          <w:lang w:val="pl-PL"/>
        </w:rPr>
        <w:t xml:space="preserve">informacji </w:t>
      </w:r>
      <w:r w:rsidRPr="00552FD9">
        <w:rPr>
          <w:position w:val="0"/>
          <w:lang w:val="pl-PL"/>
        </w:rPr>
        <w:t>wymaga</w:t>
      </w:r>
      <w:r w:rsidR="001A5F85" w:rsidRPr="00552FD9">
        <w:rPr>
          <w:position w:val="0"/>
          <w:lang w:val="pl-PL"/>
        </w:rPr>
        <w:t xml:space="preserve"> zatwierdzenia przez Zarząd</w:t>
      </w:r>
      <w:r w:rsidR="000900F2" w:rsidRPr="00552FD9">
        <w:rPr>
          <w:position w:val="0"/>
          <w:lang w:val="pl-PL"/>
        </w:rPr>
        <w:t xml:space="preserve">. </w:t>
      </w:r>
    </w:p>
    <w:p w14:paraId="6DB73C29" w14:textId="140BD50C" w:rsidR="00A51160" w:rsidRPr="00552FD9" w:rsidRDefault="00127AAC" w:rsidP="0027429F">
      <w:pPr>
        <w:pStyle w:val="Tekstpodstawowy"/>
        <w:numPr>
          <w:ilvl w:val="0"/>
          <w:numId w:val="3"/>
        </w:numPr>
        <w:spacing w:line="360" w:lineRule="auto"/>
        <w:ind w:left="357" w:hanging="357"/>
        <w:rPr>
          <w:position w:val="0"/>
        </w:rPr>
      </w:pPr>
      <w:r>
        <w:rPr>
          <w:position w:val="0"/>
          <w:lang w:val="pl-PL"/>
        </w:rPr>
        <w:t>Ryzyko bankowe</w:t>
      </w:r>
      <w:r w:rsidR="00434C4F" w:rsidRPr="00552FD9">
        <w:rPr>
          <w:position w:val="0"/>
          <w:lang w:val="pl-PL"/>
        </w:rPr>
        <w:t xml:space="preserve"> w porozumieniu z </w:t>
      </w:r>
      <w:r>
        <w:rPr>
          <w:position w:val="0"/>
          <w:lang w:val="pl-PL"/>
        </w:rPr>
        <w:t>Rachunkowością i sprawozdawczością</w:t>
      </w:r>
      <w:r w:rsidR="00C3322F" w:rsidRPr="00552FD9">
        <w:rPr>
          <w:position w:val="0"/>
          <w:lang w:val="pl-PL"/>
        </w:rPr>
        <w:t>,</w:t>
      </w:r>
      <w:r w:rsidR="00A51160" w:rsidRPr="00552FD9">
        <w:rPr>
          <w:position w:val="0"/>
          <w:lang w:val="pl-PL"/>
        </w:rPr>
        <w:t xml:space="preserve"> </w:t>
      </w:r>
      <w:r w:rsidR="00C3322F" w:rsidRPr="00552FD9">
        <w:rPr>
          <w:position w:val="0"/>
          <w:lang w:val="pl-PL"/>
        </w:rPr>
        <w:t xml:space="preserve">na podstawie informacji przedstawianych przez właściwe komórki i osoby odpowiedzialne za realizację Polityki Ujawniania zgodnie z § 10 </w:t>
      </w:r>
      <w:r w:rsidR="00256933" w:rsidRPr="00552FD9">
        <w:rPr>
          <w:position w:val="0"/>
          <w:lang w:val="pl-PL"/>
        </w:rPr>
        <w:t>rekomenduje</w:t>
      </w:r>
      <w:r w:rsidR="00434C4F" w:rsidRPr="00552FD9">
        <w:rPr>
          <w:position w:val="0"/>
          <w:lang w:val="pl-PL"/>
        </w:rPr>
        <w:t xml:space="preserve"> </w:t>
      </w:r>
      <w:r w:rsidR="00256933" w:rsidRPr="00552FD9">
        <w:rPr>
          <w:position w:val="0"/>
          <w:lang w:val="pl-PL"/>
        </w:rPr>
        <w:t>pominięcie co najmniej jednej informacji podlegającej ogłoszeniu spośród informacji wskazanych w tytułach II i III CRR, jeżeli jest to Informacja Zastrzeżona lub Informacja Poufna</w:t>
      </w:r>
      <w:r w:rsidR="00A51160" w:rsidRPr="00552FD9">
        <w:rPr>
          <w:position w:val="0"/>
          <w:lang w:val="pl-PL"/>
        </w:rPr>
        <w:t xml:space="preserve">, z wyjątkiem informacji określonych w art. 437 </w:t>
      </w:r>
      <w:r w:rsidR="00910C6C" w:rsidRPr="00552FD9">
        <w:rPr>
          <w:position w:val="0"/>
          <w:lang w:val="pl-PL"/>
        </w:rPr>
        <w:t>(dotyczących funduszy własnych) oraz</w:t>
      </w:r>
      <w:r w:rsidR="00A51160" w:rsidRPr="00552FD9">
        <w:rPr>
          <w:position w:val="0"/>
          <w:lang w:val="pl-PL"/>
        </w:rPr>
        <w:t xml:space="preserve"> </w:t>
      </w:r>
      <w:r w:rsidR="00910C6C" w:rsidRPr="00552FD9">
        <w:rPr>
          <w:position w:val="0"/>
          <w:lang w:val="pl-PL"/>
        </w:rPr>
        <w:t xml:space="preserve">art. </w:t>
      </w:r>
      <w:r w:rsidR="00A51160" w:rsidRPr="00552FD9">
        <w:rPr>
          <w:position w:val="0"/>
          <w:lang w:val="pl-PL"/>
        </w:rPr>
        <w:t xml:space="preserve">450 </w:t>
      </w:r>
      <w:r w:rsidR="00910C6C" w:rsidRPr="00552FD9">
        <w:rPr>
          <w:position w:val="0"/>
          <w:lang w:val="pl-PL"/>
        </w:rPr>
        <w:t xml:space="preserve">(dotyczących polityki w zakresie </w:t>
      </w:r>
      <w:r w:rsidR="00910C6C" w:rsidRPr="00552FD9">
        <w:rPr>
          <w:position w:val="0"/>
          <w:lang w:val="pl-PL"/>
        </w:rPr>
        <w:lastRenderedPageBreak/>
        <w:t xml:space="preserve">wynagrodzeń) </w:t>
      </w:r>
      <w:r w:rsidR="00A51160" w:rsidRPr="00552FD9">
        <w:rPr>
          <w:position w:val="0"/>
          <w:lang w:val="pl-PL"/>
        </w:rPr>
        <w:t>CRR</w:t>
      </w:r>
      <w:r w:rsidR="00434C4F" w:rsidRPr="00552FD9">
        <w:rPr>
          <w:position w:val="0"/>
          <w:lang w:val="pl-PL"/>
        </w:rPr>
        <w:t xml:space="preserve">. </w:t>
      </w:r>
      <w:r w:rsidR="001A5F85" w:rsidRPr="00552FD9">
        <w:rPr>
          <w:position w:val="0"/>
          <w:lang w:val="pl-PL"/>
        </w:rPr>
        <w:t>P</w:t>
      </w:r>
      <w:r w:rsidR="000900F2" w:rsidRPr="00552FD9">
        <w:rPr>
          <w:position w:val="0"/>
          <w:lang w:val="pl-PL"/>
        </w:rPr>
        <w:t>ominięci</w:t>
      </w:r>
      <w:r w:rsidR="001A5F85" w:rsidRPr="00552FD9">
        <w:rPr>
          <w:position w:val="0"/>
          <w:lang w:val="pl-PL"/>
        </w:rPr>
        <w:t>e</w:t>
      </w:r>
      <w:r w:rsidR="000900F2" w:rsidRPr="00552FD9">
        <w:rPr>
          <w:position w:val="0"/>
          <w:lang w:val="pl-PL"/>
        </w:rPr>
        <w:t xml:space="preserve"> </w:t>
      </w:r>
      <w:r w:rsidR="001A5F85" w:rsidRPr="00552FD9">
        <w:rPr>
          <w:position w:val="0"/>
          <w:lang w:val="pl-PL"/>
        </w:rPr>
        <w:t xml:space="preserve">ujawnienia </w:t>
      </w:r>
      <w:r w:rsidR="000900F2" w:rsidRPr="00552FD9">
        <w:rPr>
          <w:position w:val="0"/>
          <w:lang w:val="pl-PL"/>
        </w:rPr>
        <w:t xml:space="preserve">informacji wymaga </w:t>
      </w:r>
      <w:r w:rsidR="001A5F85" w:rsidRPr="00552FD9">
        <w:rPr>
          <w:position w:val="0"/>
          <w:lang w:val="pl-PL"/>
        </w:rPr>
        <w:t>zatwierdzenia przez Zarząd.</w:t>
      </w:r>
    </w:p>
    <w:p w14:paraId="298BD740" w14:textId="2F68E53D" w:rsidR="00A51160" w:rsidRPr="00552FD9" w:rsidRDefault="00A51160" w:rsidP="0027429F">
      <w:pPr>
        <w:pStyle w:val="Tekstpodstawowy"/>
        <w:numPr>
          <w:ilvl w:val="0"/>
          <w:numId w:val="3"/>
        </w:numPr>
        <w:spacing w:line="360" w:lineRule="auto"/>
        <w:ind w:left="357" w:hanging="357"/>
        <w:rPr>
          <w:position w:val="0"/>
        </w:rPr>
      </w:pPr>
      <w:r w:rsidRPr="00552FD9">
        <w:rPr>
          <w:position w:val="0"/>
        </w:rPr>
        <w:t>W przypadku</w:t>
      </w:r>
      <w:r w:rsidRPr="00552FD9">
        <w:rPr>
          <w:position w:val="0"/>
          <w:lang w:val="pl-PL"/>
        </w:rPr>
        <w:t xml:space="preserve"> pominięcia informacji zgodnie </w:t>
      </w:r>
      <w:r w:rsidRPr="00552FD9">
        <w:rPr>
          <w:position w:val="0"/>
        </w:rPr>
        <w:t>z ust. 1</w:t>
      </w:r>
      <w:r w:rsidRPr="00552FD9">
        <w:rPr>
          <w:position w:val="0"/>
          <w:lang w:val="pl-PL"/>
        </w:rPr>
        <w:t xml:space="preserve"> powyżej, </w:t>
      </w:r>
      <w:r w:rsidR="00434C4F" w:rsidRPr="00552FD9">
        <w:rPr>
          <w:position w:val="0"/>
          <w:lang w:val="pl-PL"/>
        </w:rPr>
        <w:t>w dokumencie, o którym mowa w § 6</w:t>
      </w:r>
      <w:r w:rsidR="00927621" w:rsidRPr="00552FD9">
        <w:rPr>
          <w:position w:val="0"/>
          <w:lang w:val="pl-PL"/>
        </w:rPr>
        <w:t>,</w:t>
      </w:r>
      <w:r w:rsidR="00434C4F" w:rsidRPr="00552FD9">
        <w:rPr>
          <w:position w:val="0"/>
          <w:lang w:val="pl-PL"/>
        </w:rPr>
        <w:t xml:space="preserve"> </w:t>
      </w:r>
      <w:r w:rsidR="00043539" w:rsidRPr="00552FD9">
        <w:rPr>
          <w:position w:val="0"/>
          <w:lang w:val="pl-PL"/>
        </w:rPr>
        <w:t xml:space="preserve">wyraźnie stwierdza </w:t>
      </w:r>
      <w:r w:rsidR="00434C4F" w:rsidRPr="00552FD9">
        <w:rPr>
          <w:position w:val="0"/>
          <w:lang w:val="pl-PL"/>
        </w:rPr>
        <w:t xml:space="preserve">się </w:t>
      </w:r>
      <w:r w:rsidR="00043539" w:rsidRPr="00552FD9">
        <w:rPr>
          <w:position w:val="0"/>
          <w:lang w:val="pl-PL"/>
        </w:rPr>
        <w:t xml:space="preserve">tę okoliczność oraz </w:t>
      </w:r>
      <w:r w:rsidRPr="00552FD9">
        <w:rPr>
          <w:position w:val="0"/>
        </w:rPr>
        <w:t xml:space="preserve">podaje </w:t>
      </w:r>
      <w:r w:rsidR="00434C4F" w:rsidRPr="00552FD9">
        <w:rPr>
          <w:position w:val="0"/>
          <w:lang w:val="pl-PL"/>
        </w:rPr>
        <w:t xml:space="preserve">się </w:t>
      </w:r>
      <w:r w:rsidRPr="00552FD9">
        <w:rPr>
          <w:position w:val="0"/>
        </w:rPr>
        <w:t xml:space="preserve">przyczynę odstąpienia od obowiązku </w:t>
      </w:r>
      <w:r w:rsidR="00932049" w:rsidRPr="00552FD9">
        <w:rPr>
          <w:position w:val="0"/>
          <w:lang w:val="pl-PL"/>
        </w:rPr>
        <w:t>ujawnienia</w:t>
      </w:r>
      <w:r w:rsidRPr="00552FD9">
        <w:rPr>
          <w:position w:val="0"/>
        </w:rPr>
        <w:t xml:space="preserve"> informacji</w:t>
      </w:r>
      <w:r w:rsidRPr="00552FD9">
        <w:rPr>
          <w:position w:val="0"/>
          <w:lang w:val="pl-PL"/>
        </w:rPr>
        <w:t>.</w:t>
      </w:r>
      <w:r w:rsidR="00BB63B1" w:rsidRPr="00552FD9">
        <w:rPr>
          <w:position w:val="0"/>
          <w:lang w:val="pl-PL"/>
        </w:rPr>
        <w:t xml:space="preserve"> </w:t>
      </w:r>
    </w:p>
    <w:p w14:paraId="74CD6A85" w14:textId="190517CB" w:rsidR="00BB63B1" w:rsidRPr="00552FD9" w:rsidRDefault="00A51160" w:rsidP="0027429F">
      <w:pPr>
        <w:pStyle w:val="Tekstpodstawowy"/>
        <w:numPr>
          <w:ilvl w:val="0"/>
          <w:numId w:val="3"/>
        </w:numPr>
        <w:spacing w:line="360" w:lineRule="auto"/>
        <w:ind w:left="357" w:hanging="357"/>
        <w:rPr>
          <w:position w:val="0"/>
        </w:rPr>
      </w:pPr>
      <w:r w:rsidRPr="00552FD9">
        <w:rPr>
          <w:position w:val="0"/>
          <w:lang w:val="pl-PL"/>
        </w:rPr>
        <w:t xml:space="preserve">W przypadku pominięcia informacji zgodnie z ust. 2 powyżej, </w:t>
      </w:r>
      <w:r w:rsidR="00434C4F" w:rsidRPr="00552FD9">
        <w:rPr>
          <w:position w:val="0"/>
          <w:lang w:val="pl-PL"/>
        </w:rPr>
        <w:t>w dokumencie, o którym mowa w § 6</w:t>
      </w:r>
      <w:r w:rsidR="007C1A10" w:rsidRPr="00552FD9">
        <w:rPr>
          <w:position w:val="0"/>
          <w:lang w:val="pl-PL"/>
        </w:rPr>
        <w:t>,</w:t>
      </w:r>
      <w:r w:rsidR="00434C4F" w:rsidRPr="00552FD9">
        <w:rPr>
          <w:position w:val="0"/>
          <w:lang w:val="pl-PL"/>
        </w:rPr>
        <w:t xml:space="preserve"> </w:t>
      </w:r>
      <w:r w:rsidR="00372267" w:rsidRPr="00552FD9">
        <w:rPr>
          <w:position w:val="0"/>
          <w:lang w:val="pl-PL"/>
        </w:rPr>
        <w:t xml:space="preserve">przekazuje </w:t>
      </w:r>
      <w:r w:rsidR="00434C4F" w:rsidRPr="00552FD9">
        <w:rPr>
          <w:position w:val="0"/>
          <w:lang w:val="pl-PL"/>
        </w:rPr>
        <w:t xml:space="preserve">się </w:t>
      </w:r>
      <w:r w:rsidR="00372267" w:rsidRPr="00552FD9">
        <w:rPr>
          <w:position w:val="0"/>
          <w:lang w:val="pl-PL"/>
        </w:rPr>
        <w:t>wyjaśnienie w zakresie określonym w Tytule VI Wytycznych EUNB 2014/14, w</w:t>
      </w:r>
      <w:r w:rsidR="00B97275" w:rsidRPr="00552FD9">
        <w:rPr>
          <w:position w:val="0"/>
          <w:lang w:val="pl-PL"/>
        </w:rPr>
        <w:t> </w:t>
      </w:r>
      <w:r w:rsidR="00372267" w:rsidRPr="00552FD9">
        <w:rPr>
          <w:position w:val="0"/>
          <w:lang w:val="pl-PL"/>
        </w:rPr>
        <w:t>szczególności</w:t>
      </w:r>
      <w:r w:rsidR="00BB63B1" w:rsidRPr="00552FD9">
        <w:rPr>
          <w:position w:val="0"/>
          <w:lang w:val="pl-PL"/>
        </w:rPr>
        <w:t>:</w:t>
      </w:r>
      <w:r w:rsidR="00372267" w:rsidRPr="00552FD9">
        <w:rPr>
          <w:position w:val="0"/>
          <w:lang w:val="pl-PL"/>
        </w:rPr>
        <w:t xml:space="preserve"> </w:t>
      </w:r>
    </w:p>
    <w:p w14:paraId="077C59F8" w14:textId="77777777" w:rsidR="00BB63B1" w:rsidRPr="00552FD9" w:rsidRDefault="00BB63B1" w:rsidP="007E620E">
      <w:pPr>
        <w:pStyle w:val="Tekstpodstawowy"/>
        <w:numPr>
          <w:ilvl w:val="0"/>
          <w:numId w:val="25"/>
        </w:numPr>
        <w:spacing w:line="360" w:lineRule="auto"/>
        <w:rPr>
          <w:position w:val="0"/>
        </w:rPr>
      </w:pPr>
      <w:r w:rsidRPr="00552FD9">
        <w:rPr>
          <w:position w:val="0"/>
          <w:lang w:val="pl-PL"/>
        </w:rPr>
        <w:t>oświadcza</w:t>
      </w:r>
      <w:r w:rsidR="00434C4F" w:rsidRPr="00552FD9">
        <w:rPr>
          <w:position w:val="0"/>
          <w:lang w:val="pl-PL"/>
        </w:rPr>
        <w:t xml:space="preserve"> się</w:t>
      </w:r>
      <w:r w:rsidRPr="00552FD9">
        <w:rPr>
          <w:position w:val="0"/>
          <w:lang w:val="pl-PL"/>
        </w:rPr>
        <w:t>, że dane informacje zostały pominięte, wskazując rodzaj informacji lub wymóg dotyczący ujawnienia, w odniesieniu do którego informacje uznano za zastrzeżone lub poufne;</w:t>
      </w:r>
    </w:p>
    <w:p w14:paraId="48943711" w14:textId="77777777" w:rsidR="00BB63B1" w:rsidRPr="00552FD9" w:rsidRDefault="00A51160" w:rsidP="00BB63B1">
      <w:pPr>
        <w:pStyle w:val="Tekstpodstawowy"/>
        <w:numPr>
          <w:ilvl w:val="0"/>
          <w:numId w:val="25"/>
        </w:numPr>
        <w:spacing w:line="360" w:lineRule="auto"/>
        <w:rPr>
          <w:position w:val="0"/>
        </w:rPr>
      </w:pPr>
      <w:r w:rsidRPr="00552FD9">
        <w:rPr>
          <w:position w:val="0"/>
          <w:lang w:val="pl-PL"/>
        </w:rPr>
        <w:t xml:space="preserve">podaje </w:t>
      </w:r>
      <w:r w:rsidR="00434C4F" w:rsidRPr="00552FD9">
        <w:rPr>
          <w:position w:val="0"/>
          <w:lang w:val="pl-PL"/>
        </w:rPr>
        <w:t xml:space="preserve">się </w:t>
      </w:r>
      <w:r w:rsidRPr="00552FD9">
        <w:rPr>
          <w:position w:val="0"/>
          <w:lang w:val="pl-PL"/>
        </w:rPr>
        <w:t xml:space="preserve">przyczynę odstąpienia od </w:t>
      </w:r>
      <w:r w:rsidR="00037C9E" w:rsidRPr="00552FD9">
        <w:rPr>
          <w:position w:val="0"/>
          <w:lang w:val="pl-PL"/>
        </w:rPr>
        <w:t>ujawnienia</w:t>
      </w:r>
      <w:r w:rsidRPr="00552FD9">
        <w:rPr>
          <w:position w:val="0"/>
          <w:lang w:val="pl-PL"/>
        </w:rPr>
        <w:t xml:space="preserve"> informacji</w:t>
      </w:r>
      <w:r w:rsidR="00BB63B1" w:rsidRPr="00552FD9">
        <w:rPr>
          <w:position w:val="0"/>
          <w:lang w:val="pl-PL"/>
        </w:rPr>
        <w:t>;</w:t>
      </w:r>
      <w:r w:rsidRPr="00552FD9">
        <w:rPr>
          <w:position w:val="0"/>
        </w:rPr>
        <w:t xml:space="preserve"> </w:t>
      </w:r>
    </w:p>
    <w:p w14:paraId="791154F3" w14:textId="77777777" w:rsidR="00435147" w:rsidRPr="00552FD9" w:rsidRDefault="00E32EC0" w:rsidP="007E620E">
      <w:pPr>
        <w:pStyle w:val="Tekstpodstawowy"/>
        <w:numPr>
          <w:ilvl w:val="0"/>
          <w:numId w:val="25"/>
        </w:numPr>
        <w:spacing w:line="360" w:lineRule="auto"/>
        <w:rPr>
          <w:position w:val="0"/>
        </w:rPr>
      </w:pPr>
      <w:r w:rsidRPr="00552FD9">
        <w:rPr>
          <w:position w:val="0"/>
          <w:lang w:val="pl-PL"/>
        </w:rPr>
        <w:t>ujawnia</w:t>
      </w:r>
      <w:r w:rsidR="00A51160" w:rsidRPr="00552FD9">
        <w:rPr>
          <w:position w:val="0"/>
        </w:rPr>
        <w:t xml:space="preserve"> </w:t>
      </w:r>
      <w:r w:rsidR="00434C4F" w:rsidRPr="00552FD9">
        <w:rPr>
          <w:position w:val="0"/>
          <w:lang w:val="pl-PL"/>
        </w:rPr>
        <w:t xml:space="preserve">się </w:t>
      </w:r>
      <w:r w:rsidR="00A51160" w:rsidRPr="00552FD9">
        <w:rPr>
          <w:position w:val="0"/>
        </w:rPr>
        <w:t>informacj</w:t>
      </w:r>
      <w:r w:rsidR="00A51160" w:rsidRPr="00552FD9">
        <w:rPr>
          <w:position w:val="0"/>
          <w:lang w:val="pl-PL"/>
        </w:rPr>
        <w:t>ę</w:t>
      </w:r>
      <w:r w:rsidR="00A51160" w:rsidRPr="00552FD9">
        <w:rPr>
          <w:position w:val="0"/>
        </w:rPr>
        <w:t xml:space="preserve"> o ogólniejszym charakterze z tego zakresu</w:t>
      </w:r>
      <w:r w:rsidR="00372267" w:rsidRPr="00552FD9">
        <w:rPr>
          <w:position w:val="0"/>
          <w:lang w:val="pl-PL"/>
        </w:rPr>
        <w:t xml:space="preserve"> respektując poufny lub zastrzeżony charakter informacji</w:t>
      </w:r>
      <w:r w:rsidR="00A51160" w:rsidRPr="00552FD9">
        <w:rPr>
          <w:position w:val="0"/>
        </w:rPr>
        <w:t>.</w:t>
      </w:r>
      <w:bookmarkEnd w:id="8"/>
    </w:p>
    <w:p w14:paraId="28F4DCF3" w14:textId="77777777" w:rsidR="00B97275" w:rsidRPr="00552FD9" w:rsidRDefault="00B97275" w:rsidP="00B97275">
      <w:pPr>
        <w:pStyle w:val="Tekstpodstawowy"/>
        <w:spacing w:line="360" w:lineRule="auto"/>
        <w:ind w:left="1077"/>
        <w:rPr>
          <w:position w:val="0"/>
        </w:rPr>
      </w:pPr>
    </w:p>
    <w:p w14:paraId="54CD14B1" w14:textId="77777777" w:rsidR="00A55435" w:rsidRPr="00552FD9" w:rsidRDefault="00A55435" w:rsidP="00CE0916">
      <w:pPr>
        <w:spacing w:line="360" w:lineRule="auto"/>
        <w:jc w:val="center"/>
        <w:rPr>
          <w:b/>
          <w:bCs/>
        </w:rPr>
      </w:pPr>
      <w:r w:rsidRPr="00552FD9">
        <w:rPr>
          <w:b/>
          <w:bCs/>
        </w:rPr>
        <w:t>§ 5</w:t>
      </w:r>
    </w:p>
    <w:p w14:paraId="5A9FAFE7" w14:textId="77777777" w:rsidR="00F33419" w:rsidRPr="00552FD9" w:rsidRDefault="00A55435" w:rsidP="003830CA">
      <w:pPr>
        <w:pStyle w:val="Nagwek2"/>
        <w:spacing w:after="360"/>
      </w:pPr>
      <w:bookmarkStart w:id="10" w:name="_Toc467760318"/>
      <w:bookmarkStart w:id="11" w:name="_Toc71277919"/>
      <w:r w:rsidRPr="00552FD9">
        <w:rPr>
          <w:rStyle w:val="Nagwek2Znak"/>
          <w:b/>
          <w:bCs/>
        </w:rPr>
        <w:t xml:space="preserve">Częstotliwość </w:t>
      </w:r>
      <w:r w:rsidR="0004137A" w:rsidRPr="00552FD9">
        <w:rPr>
          <w:rStyle w:val="Nagwek2Znak"/>
          <w:b/>
          <w:bCs/>
        </w:rPr>
        <w:t>ujawniania</w:t>
      </w:r>
      <w:r w:rsidRPr="00552FD9">
        <w:rPr>
          <w:rStyle w:val="Nagwek2Znak"/>
          <w:b/>
          <w:bCs/>
        </w:rPr>
        <w:t xml:space="preserve"> informacji</w:t>
      </w:r>
      <w:bookmarkEnd w:id="10"/>
      <w:bookmarkEnd w:id="11"/>
    </w:p>
    <w:p w14:paraId="3B2C1672" w14:textId="77777777" w:rsidR="00F33419" w:rsidRPr="00552FD9" w:rsidRDefault="006A67DA" w:rsidP="0027429F">
      <w:pPr>
        <w:pStyle w:val="Tekstpodstawowy"/>
        <w:numPr>
          <w:ilvl w:val="0"/>
          <w:numId w:val="2"/>
        </w:numPr>
        <w:spacing w:line="360" w:lineRule="auto"/>
        <w:rPr>
          <w:position w:val="0"/>
        </w:rPr>
      </w:pPr>
      <w:r w:rsidRPr="00552FD9">
        <w:rPr>
          <w:position w:val="0"/>
          <w:lang w:val="pl-PL"/>
        </w:rPr>
        <w:t xml:space="preserve">Informacje podlegające ogłoszeniu </w:t>
      </w:r>
      <w:r w:rsidR="00AF47F0" w:rsidRPr="00552FD9">
        <w:rPr>
          <w:position w:val="0"/>
          <w:lang w:val="pl-PL"/>
        </w:rPr>
        <w:t xml:space="preserve">Bank przekazuje do publicznej wiadomości raz </w:t>
      </w:r>
      <w:r w:rsidR="005028D5" w:rsidRPr="00552FD9">
        <w:rPr>
          <w:position w:val="0"/>
          <w:lang w:val="pl-PL"/>
        </w:rPr>
        <w:t>do</w:t>
      </w:r>
      <w:r w:rsidR="00AF47F0" w:rsidRPr="00552FD9">
        <w:rPr>
          <w:position w:val="0"/>
          <w:lang w:val="pl-PL"/>
        </w:rPr>
        <w:t xml:space="preserve"> roku</w:t>
      </w:r>
      <w:r w:rsidR="00EA7A2B" w:rsidRPr="00552FD9">
        <w:rPr>
          <w:position w:val="0"/>
          <w:lang w:val="pl-PL"/>
        </w:rPr>
        <w:t xml:space="preserve">, z zastrzeżeniem </w:t>
      </w:r>
      <w:r w:rsidR="005C6D3A" w:rsidRPr="00552FD9">
        <w:rPr>
          <w:position w:val="0"/>
          <w:lang w:val="pl-PL"/>
        </w:rPr>
        <w:t>ustępu 2</w:t>
      </w:r>
      <w:r w:rsidR="00E3606F" w:rsidRPr="00552FD9">
        <w:rPr>
          <w:position w:val="0"/>
          <w:lang w:val="pl-PL"/>
        </w:rPr>
        <w:t>-4</w:t>
      </w:r>
      <w:r w:rsidR="007A647E" w:rsidRPr="00552FD9">
        <w:rPr>
          <w:position w:val="0"/>
          <w:lang w:val="pl-PL"/>
        </w:rPr>
        <w:t xml:space="preserve"> </w:t>
      </w:r>
      <w:r w:rsidR="005C6D3A" w:rsidRPr="00552FD9">
        <w:rPr>
          <w:position w:val="0"/>
          <w:lang w:val="pl-PL"/>
        </w:rPr>
        <w:t>poniżej.</w:t>
      </w:r>
    </w:p>
    <w:p w14:paraId="2565F1FA" w14:textId="758CEC8F" w:rsidR="007A647E" w:rsidRPr="00552FD9" w:rsidRDefault="007A647E" w:rsidP="0027429F">
      <w:pPr>
        <w:pStyle w:val="Tekstpodstawowy"/>
        <w:numPr>
          <w:ilvl w:val="0"/>
          <w:numId w:val="2"/>
        </w:numPr>
        <w:spacing w:line="360" w:lineRule="auto"/>
        <w:rPr>
          <w:position w:val="0"/>
        </w:rPr>
      </w:pPr>
      <w:r w:rsidRPr="00552FD9">
        <w:rPr>
          <w:position w:val="0"/>
          <w:lang w:val="pl-PL"/>
        </w:rPr>
        <w:t>Informacje, o których mowa w § 3 ust. 2 pkt 1</w:t>
      </w:r>
      <w:r w:rsidR="002D180B">
        <w:rPr>
          <w:position w:val="0"/>
          <w:lang w:val="pl-PL"/>
        </w:rPr>
        <w:t>3</w:t>
      </w:r>
      <w:r w:rsidR="00193DAE">
        <w:rPr>
          <w:position w:val="0"/>
          <w:lang w:val="pl-PL"/>
        </w:rPr>
        <w:t xml:space="preserve"> i</w:t>
      </w:r>
      <w:r w:rsidR="00F91355" w:rsidRPr="00552FD9">
        <w:rPr>
          <w:position w:val="0"/>
          <w:lang w:val="pl-PL"/>
        </w:rPr>
        <w:t xml:space="preserve"> 1</w:t>
      </w:r>
      <w:r w:rsidR="002D180B">
        <w:rPr>
          <w:position w:val="0"/>
          <w:lang w:val="pl-PL"/>
        </w:rPr>
        <w:t>5</w:t>
      </w:r>
      <w:r w:rsidRPr="00552FD9">
        <w:rPr>
          <w:position w:val="0"/>
          <w:lang w:val="pl-PL"/>
        </w:rPr>
        <w:t xml:space="preserve"> Bank przekazuje do publicznej wiadomości raz na pół roku</w:t>
      </w:r>
      <w:r w:rsidR="004B7305" w:rsidRPr="00552FD9">
        <w:rPr>
          <w:position w:val="0"/>
          <w:lang w:val="pl-PL"/>
        </w:rPr>
        <w:t>.</w:t>
      </w:r>
    </w:p>
    <w:p w14:paraId="5300C023" w14:textId="0CFFB1D0" w:rsidR="00FE4282" w:rsidRPr="00552FD9" w:rsidRDefault="00E3606F" w:rsidP="0027429F">
      <w:pPr>
        <w:pStyle w:val="Tekstpodstawowy"/>
        <w:numPr>
          <w:ilvl w:val="0"/>
          <w:numId w:val="2"/>
        </w:numPr>
        <w:spacing w:line="360" w:lineRule="auto"/>
        <w:rPr>
          <w:position w:val="0"/>
        </w:rPr>
      </w:pPr>
      <w:r w:rsidRPr="00552FD9">
        <w:rPr>
          <w:position w:val="0"/>
          <w:lang w:val="pl-PL"/>
        </w:rPr>
        <w:t xml:space="preserve">Informacje dotyczące systemu zarządzania, w tym systemu zarządzania ryzykiem </w:t>
      </w:r>
      <w:r w:rsidR="009C471A" w:rsidRPr="00552FD9">
        <w:rPr>
          <w:position w:val="0"/>
          <w:lang w:val="pl-PL"/>
        </w:rPr>
        <w:br/>
      </w:r>
      <w:r w:rsidRPr="00552FD9">
        <w:rPr>
          <w:position w:val="0"/>
          <w:lang w:val="pl-PL"/>
        </w:rPr>
        <w:t>i systemu kontroli wewnętrznej</w:t>
      </w:r>
      <w:r w:rsidR="00F21818" w:rsidRPr="00552FD9">
        <w:rPr>
          <w:position w:val="0"/>
          <w:lang w:val="pl-PL"/>
        </w:rPr>
        <w:t>,</w:t>
      </w:r>
      <w:r w:rsidRPr="00552FD9">
        <w:rPr>
          <w:position w:val="0"/>
          <w:lang w:val="pl-PL"/>
        </w:rPr>
        <w:t xml:space="preserve"> polityki wynagrodzeń</w:t>
      </w:r>
      <w:r w:rsidR="00F21818" w:rsidRPr="00552FD9">
        <w:rPr>
          <w:position w:val="0"/>
          <w:lang w:val="pl-PL"/>
        </w:rPr>
        <w:t xml:space="preserve"> oraz polityki zarządzania konfliktami interesów</w:t>
      </w:r>
      <w:r w:rsidR="0052288E" w:rsidRPr="00552FD9">
        <w:rPr>
          <w:position w:val="0"/>
          <w:lang w:val="pl-PL"/>
        </w:rPr>
        <w:t>,</w:t>
      </w:r>
      <w:r w:rsidRPr="00552FD9">
        <w:rPr>
          <w:position w:val="0"/>
          <w:lang w:val="pl-PL"/>
        </w:rPr>
        <w:t xml:space="preserve"> informację o powołaniu komitetu do spraw wynagrodzeń, a także informację o spełnianiu przez członków Zarządu i Rady Nadzorczej wymogów określonych w art. 22aa Prawa Bankowego </w:t>
      </w:r>
      <w:r w:rsidR="00FE4282" w:rsidRPr="00552FD9">
        <w:rPr>
          <w:position w:val="0"/>
          <w:lang w:val="pl-PL"/>
        </w:rPr>
        <w:t>Bank ogłasza i na bieżąco aktualizuje na swojej stronie internetowej</w:t>
      </w:r>
      <w:r w:rsidRPr="00552FD9">
        <w:rPr>
          <w:position w:val="0"/>
          <w:lang w:val="pl-PL"/>
        </w:rPr>
        <w:t>.</w:t>
      </w:r>
    </w:p>
    <w:p w14:paraId="5ED7E105" w14:textId="399D8BEB" w:rsidR="00F33419" w:rsidRPr="00552FD9" w:rsidRDefault="00C3322F" w:rsidP="0027429F">
      <w:pPr>
        <w:pStyle w:val="Tekstpodstawowy"/>
        <w:numPr>
          <w:ilvl w:val="0"/>
          <w:numId w:val="2"/>
        </w:numPr>
        <w:spacing w:line="360" w:lineRule="auto"/>
        <w:rPr>
          <w:position w:val="0"/>
        </w:rPr>
      </w:pPr>
      <w:r w:rsidRPr="00552FD9">
        <w:rPr>
          <w:position w:val="0"/>
          <w:lang w:val="pl-PL"/>
        </w:rPr>
        <w:t>Ryzyk</w:t>
      </w:r>
      <w:r w:rsidR="00455258">
        <w:rPr>
          <w:position w:val="0"/>
          <w:lang w:val="pl-PL"/>
        </w:rPr>
        <w:t>o</w:t>
      </w:r>
      <w:r w:rsidRPr="00552FD9">
        <w:rPr>
          <w:position w:val="0"/>
          <w:lang w:val="pl-PL"/>
        </w:rPr>
        <w:t xml:space="preserve"> </w:t>
      </w:r>
      <w:r w:rsidR="00455258">
        <w:rPr>
          <w:position w:val="0"/>
          <w:lang w:val="pl-PL"/>
        </w:rPr>
        <w:t>b</w:t>
      </w:r>
      <w:r w:rsidRPr="00552FD9">
        <w:rPr>
          <w:position w:val="0"/>
          <w:lang w:val="pl-PL"/>
        </w:rPr>
        <w:t>ankowe</w:t>
      </w:r>
      <w:r w:rsidR="00A70E4F">
        <w:rPr>
          <w:position w:val="0"/>
          <w:lang w:val="pl-PL"/>
        </w:rPr>
        <w:t xml:space="preserve"> </w:t>
      </w:r>
      <w:r w:rsidR="00E72A6A" w:rsidRPr="00552FD9">
        <w:rPr>
          <w:position w:val="0"/>
          <w:lang w:val="pl-PL"/>
        </w:rPr>
        <w:t xml:space="preserve">analizuje konieczność </w:t>
      </w:r>
      <w:r w:rsidR="003747C8" w:rsidRPr="00552FD9">
        <w:rPr>
          <w:position w:val="0"/>
          <w:lang w:val="pl-PL"/>
        </w:rPr>
        <w:t xml:space="preserve">częstszego </w:t>
      </w:r>
      <w:r w:rsidR="0057394A" w:rsidRPr="00552FD9">
        <w:rPr>
          <w:position w:val="0"/>
          <w:lang w:val="pl-PL"/>
        </w:rPr>
        <w:t xml:space="preserve">ujawniania niektórych lub wszystkich informacji. </w:t>
      </w:r>
    </w:p>
    <w:p w14:paraId="1AE062A6" w14:textId="7A85FBB5" w:rsidR="00126D3C" w:rsidRPr="00552FD9" w:rsidRDefault="00126D3C" w:rsidP="0027429F">
      <w:pPr>
        <w:pStyle w:val="Tekstpodstawowy"/>
        <w:numPr>
          <w:ilvl w:val="0"/>
          <w:numId w:val="2"/>
        </w:numPr>
        <w:spacing w:line="360" w:lineRule="auto"/>
        <w:rPr>
          <w:position w:val="0"/>
        </w:rPr>
      </w:pPr>
      <w:r w:rsidRPr="00552FD9">
        <w:rPr>
          <w:position w:val="0"/>
          <w:lang w:val="pl-PL"/>
        </w:rPr>
        <w:t xml:space="preserve">Bank </w:t>
      </w:r>
      <w:r w:rsidR="001F4423" w:rsidRPr="00552FD9">
        <w:rPr>
          <w:position w:val="0"/>
          <w:lang w:val="pl-PL"/>
        </w:rPr>
        <w:t>ujawnia</w:t>
      </w:r>
      <w:r w:rsidR="0029763D" w:rsidRPr="00552FD9">
        <w:rPr>
          <w:position w:val="0"/>
          <w:lang w:val="pl-PL"/>
        </w:rPr>
        <w:t xml:space="preserve"> </w:t>
      </w:r>
      <w:r w:rsidR="001F4423" w:rsidRPr="00552FD9">
        <w:rPr>
          <w:position w:val="0"/>
          <w:lang w:val="pl-PL"/>
        </w:rPr>
        <w:t>informacje</w:t>
      </w:r>
      <w:r w:rsidR="0029763D" w:rsidRPr="00552FD9">
        <w:rPr>
          <w:position w:val="0"/>
          <w:lang w:val="pl-PL"/>
        </w:rPr>
        <w:t>, o których mowa w niniejszej Polityce Ujawniania</w:t>
      </w:r>
      <w:r w:rsidR="0052288E" w:rsidRPr="00552FD9">
        <w:rPr>
          <w:position w:val="0"/>
          <w:lang w:val="pl-PL"/>
        </w:rPr>
        <w:t>,</w:t>
      </w:r>
      <w:r w:rsidR="0029763D" w:rsidRPr="00552FD9">
        <w:rPr>
          <w:position w:val="0"/>
          <w:lang w:val="pl-PL"/>
        </w:rPr>
        <w:t xml:space="preserve"> </w:t>
      </w:r>
      <w:r w:rsidR="001F4423" w:rsidRPr="00552FD9">
        <w:rPr>
          <w:position w:val="0"/>
          <w:lang w:val="pl-PL"/>
        </w:rPr>
        <w:t>w tym samym dniu, w którym publikuje sprawozdanie finansowe Banku</w:t>
      </w:r>
      <w:r w:rsidR="00E6139F" w:rsidRPr="00552FD9">
        <w:rPr>
          <w:position w:val="0"/>
          <w:lang w:val="pl-PL"/>
        </w:rPr>
        <w:t>, a w przypadku braku takiej możliwości, jak najszybciej po upływie tego terminu</w:t>
      </w:r>
      <w:r w:rsidRPr="00552FD9">
        <w:rPr>
          <w:position w:val="0"/>
          <w:lang w:val="pl-PL"/>
        </w:rPr>
        <w:t xml:space="preserve">. </w:t>
      </w:r>
    </w:p>
    <w:p w14:paraId="2D352803" w14:textId="77777777" w:rsidR="00126D3C" w:rsidRPr="00552FD9" w:rsidRDefault="007A647E" w:rsidP="0027429F">
      <w:pPr>
        <w:pStyle w:val="Tekstpodstawowy"/>
        <w:numPr>
          <w:ilvl w:val="0"/>
          <w:numId w:val="2"/>
        </w:numPr>
        <w:spacing w:line="360" w:lineRule="auto"/>
        <w:rPr>
          <w:position w:val="0"/>
        </w:rPr>
      </w:pPr>
      <w:r w:rsidRPr="00552FD9">
        <w:rPr>
          <w:position w:val="0"/>
          <w:lang w:val="pl-PL"/>
        </w:rPr>
        <w:lastRenderedPageBreak/>
        <w:t xml:space="preserve">Datą odniesienia dla informacji ujawnianych raz do roku jest </w:t>
      </w:r>
      <w:r w:rsidR="006B4A7D" w:rsidRPr="00552FD9">
        <w:rPr>
          <w:position w:val="0"/>
          <w:lang w:val="pl-PL"/>
        </w:rPr>
        <w:t>31 grudnia</w:t>
      </w:r>
      <w:r w:rsidRPr="00552FD9">
        <w:rPr>
          <w:position w:val="0"/>
          <w:lang w:val="pl-PL"/>
        </w:rPr>
        <w:t>. Datami odniesienia dla informacji ujawnianych raz na pół roku są 30 czerwca oraz 31 grudnia</w:t>
      </w:r>
      <w:r w:rsidR="006B4A7D" w:rsidRPr="00552FD9">
        <w:rPr>
          <w:position w:val="0"/>
          <w:lang w:val="pl-PL"/>
        </w:rPr>
        <w:t>.</w:t>
      </w:r>
      <w:r w:rsidR="00E977ED" w:rsidRPr="00552FD9">
        <w:rPr>
          <w:position w:val="0"/>
          <w:lang w:val="pl-PL"/>
        </w:rPr>
        <w:t xml:space="preserve"> </w:t>
      </w:r>
    </w:p>
    <w:p w14:paraId="6B4CCD49" w14:textId="77777777" w:rsidR="00F60576" w:rsidRPr="00552FD9" w:rsidRDefault="00F60576" w:rsidP="00E977ED">
      <w:pPr>
        <w:pStyle w:val="Tekstpodstawowy"/>
        <w:spacing w:line="360" w:lineRule="auto"/>
        <w:rPr>
          <w:position w:val="0"/>
        </w:rPr>
      </w:pPr>
    </w:p>
    <w:p w14:paraId="7C6C4D52" w14:textId="77777777" w:rsidR="00D53777" w:rsidRPr="00552FD9" w:rsidRDefault="00F60576" w:rsidP="00F60576">
      <w:pPr>
        <w:spacing w:line="360" w:lineRule="auto"/>
        <w:jc w:val="center"/>
        <w:rPr>
          <w:b/>
          <w:bCs/>
        </w:rPr>
      </w:pPr>
      <w:r w:rsidRPr="00552FD9">
        <w:rPr>
          <w:b/>
          <w:bCs/>
        </w:rPr>
        <w:t>§ 6</w:t>
      </w:r>
    </w:p>
    <w:p w14:paraId="61DF40E4" w14:textId="77777777" w:rsidR="00D53777" w:rsidRPr="00552FD9" w:rsidRDefault="00C66595" w:rsidP="003830CA">
      <w:pPr>
        <w:pStyle w:val="Nagwek2"/>
        <w:spacing w:after="360"/>
      </w:pPr>
      <w:bookmarkStart w:id="12" w:name="_Toc71277920"/>
      <w:r w:rsidRPr="00552FD9">
        <w:t xml:space="preserve">Miejsce i forma </w:t>
      </w:r>
      <w:r w:rsidR="0004137A" w:rsidRPr="00552FD9">
        <w:t>ujawniania informacji</w:t>
      </w:r>
      <w:bookmarkEnd w:id="12"/>
    </w:p>
    <w:p w14:paraId="4CC95FA4" w14:textId="77777777" w:rsidR="00680B06" w:rsidRPr="00552FD9" w:rsidRDefault="00680B06" w:rsidP="0027429F">
      <w:pPr>
        <w:pStyle w:val="Tekstpodstawowy"/>
        <w:numPr>
          <w:ilvl w:val="0"/>
          <w:numId w:val="8"/>
        </w:numPr>
        <w:spacing w:line="360" w:lineRule="auto"/>
        <w:rPr>
          <w:position w:val="0"/>
        </w:rPr>
      </w:pPr>
      <w:r w:rsidRPr="00552FD9">
        <w:rPr>
          <w:position w:val="0"/>
          <w:lang w:val="pl-PL"/>
        </w:rPr>
        <w:t>Informacje podlegające ujawni</w:t>
      </w:r>
      <w:r w:rsidR="003978F2" w:rsidRPr="00552FD9">
        <w:rPr>
          <w:position w:val="0"/>
          <w:lang w:val="pl-PL"/>
        </w:rPr>
        <w:t>a</w:t>
      </w:r>
      <w:r w:rsidRPr="00552FD9">
        <w:rPr>
          <w:position w:val="0"/>
          <w:lang w:val="pl-PL"/>
        </w:rPr>
        <w:t>niu</w:t>
      </w:r>
      <w:r w:rsidR="00BB63B1" w:rsidRPr="00552FD9">
        <w:rPr>
          <w:position w:val="0"/>
          <w:lang w:val="pl-PL"/>
        </w:rPr>
        <w:t xml:space="preserve"> oraz informacje wymagane na mocy § 4 ust. 3 i 4, </w:t>
      </w:r>
      <w:r w:rsidRPr="00552FD9">
        <w:rPr>
          <w:position w:val="0"/>
          <w:lang w:val="pl-PL"/>
        </w:rPr>
        <w:t>Bank przekazuje do publicznej wiadomości w form</w:t>
      </w:r>
      <w:r w:rsidR="003978F2" w:rsidRPr="00552FD9">
        <w:rPr>
          <w:position w:val="0"/>
          <w:lang w:val="pl-PL"/>
        </w:rPr>
        <w:t>ie</w:t>
      </w:r>
      <w:r w:rsidRPr="00552FD9">
        <w:rPr>
          <w:position w:val="0"/>
          <w:lang w:val="pl-PL"/>
        </w:rPr>
        <w:t xml:space="preserve"> jednego dokumentu sporządzonego w języku polskim</w:t>
      </w:r>
      <w:r w:rsidR="00806873" w:rsidRPr="00552FD9">
        <w:rPr>
          <w:position w:val="0"/>
          <w:lang w:val="pl-PL"/>
        </w:rPr>
        <w:t>.</w:t>
      </w:r>
    </w:p>
    <w:p w14:paraId="6466F73C" w14:textId="77777777" w:rsidR="007A5503" w:rsidRPr="00552FD9" w:rsidRDefault="00F33419" w:rsidP="00DB444B">
      <w:pPr>
        <w:pStyle w:val="Tekstpodstawowy"/>
        <w:numPr>
          <w:ilvl w:val="0"/>
          <w:numId w:val="8"/>
        </w:numPr>
        <w:spacing w:line="360" w:lineRule="auto"/>
        <w:rPr>
          <w:position w:val="0"/>
          <w:lang w:val="pl-PL"/>
        </w:rPr>
      </w:pPr>
      <w:r w:rsidRPr="00552FD9">
        <w:rPr>
          <w:position w:val="0"/>
          <w:lang w:val="pl-PL"/>
        </w:rPr>
        <w:t xml:space="preserve">Polityka </w:t>
      </w:r>
      <w:r w:rsidR="003B4098" w:rsidRPr="00552FD9">
        <w:rPr>
          <w:position w:val="0"/>
          <w:lang w:val="pl-PL"/>
        </w:rPr>
        <w:t xml:space="preserve">Ujawniania </w:t>
      </w:r>
      <w:r w:rsidRPr="00552FD9">
        <w:rPr>
          <w:position w:val="0"/>
          <w:lang w:val="pl-PL"/>
        </w:rPr>
        <w:t xml:space="preserve">oraz informacje podlegające </w:t>
      </w:r>
      <w:r w:rsidR="00E32EC0" w:rsidRPr="00552FD9">
        <w:rPr>
          <w:position w:val="0"/>
          <w:lang w:val="pl-PL"/>
        </w:rPr>
        <w:t>ujawnianiu</w:t>
      </w:r>
      <w:r w:rsidR="006C6D7A" w:rsidRPr="00552FD9">
        <w:rPr>
          <w:position w:val="0"/>
          <w:lang w:val="pl-PL"/>
        </w:rPr>
        <w:t xml:space="preserve"> </w:t>
      </w:r>
      <w:r w:rsidR="00C10B30" w:rsidRPr="00552FD9">
        <w:rPr>
          <w:position w:val="0"/>
          <w:lang w:val="pl-PL"/>
        </w:rPr>
        <w:t>w formie jednego dokument</w:t>
      </w:r>
      <w:r w:rsidR="00BB63B1" w:rsidRPr="00552FD9">
        <w:rPr>
          <w:position w:val="0"/>
          <w:lang w:val="pl-PL"/>
        </w:rPr>
        <w:t>u</w:t>
      </w:r>
      <w:r w:rsidR="00C10B30" w:rsidRPr="00552FD9">
        <w:rPr>
          <w:position w:val="0"/>
          <w:lang w:val="pl-PL"/>
        </w:rPr>
        <w:t xml:space="preserve"> </w:t>
      </w:r>
      <w:r w:rsidRPr="00552FD9">
        <w:rPr>
          <w:position w:val="0"/>
          <w:lang w:val="pl-PL"/>
        </w:rPr>
        <w:t>dostępne są</w:t>
      </w:r>
      <w:r w:rsidR="00763A45" w:rsidRPr="00552FD9">
        <w:rPr>
          <w:position w:val="0"/>
          <w:lang w:val="pl-PL"/>
        </w:rPr>
        <w:t xml:space="preserve"> </w:t>
      </w:r>
      <w:r w:rsidR="004953E4" w:rsidRPr="00552FD9">
        <w:rPr>
          <w:position w:val="0"/>
          <w:lang w:val="pl-PL"/>
        </w:rPr>
        <w:t xml:space="preserve">w wersji elektronicznej </w:t>
      </w:r>
      <w:r w:rsidR="007A5503" w:rsidRPr="00552FD9">
        <w:rPr>
          <w:position w:val="0"/>
          <w:lang w:val="pl-PL"/>
        </w:rPr>
        <w:t>na stronie internetowej Banku</w:t>
      </w:r>
      <w:r w:rsidR="00702CD3" w:rsidRPr="00552FD9">
        <w:rPr>
          <w:position w:val="0"/>
          <w:lang w:val="pl-PL"/>
        </w:rPr>
        <w:t xml:space="preserve"> (www.sgb.pl) </w:t>
      </w:r>
      <w:r w:rsidR="00A46747" w:rsidRPr="00552FD9">
        <w:rPr>
          <w:position w:val="0"/>
          <w:lang w:val="pl-PL"/>
        </w:rPr>
        <w:t>w zakładce</w:t>
      </w:r>
      <w:r w:rsidR="00702CD3" w:rsidRPr="00552FD9">
        <w:rPr>
          <w:position w:val="0"/>
          <w:lang w:val="pl-PL"/>
        </w:rPr>
        <w:t xml:space="preserve"> </w:t>
      </w:r>
      <w:r w:rsidR="00B70C63" w:rsidRPr="00552FD9">
        <w:rPr>
          <w:position w:val="0"/>
          <w:lang w:val="pl-PL"/>
        </w:rPr>
        <w:t>SGB-Banku S.A</w:t>
      </w:r>
      <w:r w:rsidR="006A712E" w:rsidRPr="00552FD9">
        <w:rPr>
          <w:position w:val="0"/>
          <w:lang w:val="pl-PL"/>
        </w:rPr>
        <w:t>.</w:t>
      </w:r>
      <w:r w:rsidR="00E7643B" w:rsidRPr="00552FD9">
        <w:rPr>
          <w:position w:val="0"/>
          <w:lang w:val="pl-PL"/>
        </w:rPr>
        <w:t xml:space="preserve"> </w:t>
      </w:r>
      <w:r w:rsidR="006A712E" w:rsidRPr="00552FD9">
        <w:rPr>
          <w:position w:val="0"/>
          <w:lang w:val="pl-PL"/>
        </w:rPr>
        <w:t>/</w:t>
      </w:r>
      <w:r w:rsidR="00E7643B" w:rsidRPr="00552FD9">
        <w:rPr>
          <w:position w:val="0"/>
          <w:lang w:val="pl-PL"/>
        </w:rPr>
        <w:t xml:space="preserve"> </w:t>
      </w:r>
      <w:r w:rsidR="006A712E" w:rsidRPr="00552FD9">
        <w:rPr>
          <w:position w:val="0"/>
          <w:lang w:val="pl-PL"/>
        </w:rPr>
        <w:t>o SGB-Banku S.A.</w:t>
      </w:r>
      <w:r w:rsidR="00E7643B" w:rsidRPr="00552FD9">
        <w:rPr>
          <w:position w:val="0"/>
          <w:lang w:val="pl-PL"/>
        </w:rPr>
        <w:t xml:space="preserve"> </w:t>
      </w:r>
      <w:r w:rsidR="006A712E" w:rsidRPr="00552FD9">
        <w:rPr>
          <w:position w:val="0"/>
          <w:lang w:val="pl-PL"/>
        </w:rPr>
        <w:t>/</w:t>
      </w:r>
      <w:r w:rsidR="00E7643B" w:rsidRPr="00552FD9">
        <w:rPr>
          <w:position w:val="0"/>
          <w:lang w:val="pl-PL"/>
        </w:rPr>
        <w:t xml:space="preserve"> </w:t>
      </w:r>
      <w:r w:rsidR="006A712E" w:rsidRPr="00552FD9">
        <w:rPr>
          <w:position w:val="0"/>
          <w:lang w:val="pl-PL"/>
        </w:rPr>
        <w:t>Polityka informacyjna Banku</w:t>
      </w:r>
      <w:r w:rsidR="00702CD3" w:rsidRPr="00552FD9">
        <w:rPr>
          <w:position w:val="0"/>
          <w:lang w:val="pl-PL"/>
        </w:rPr>
        <w:t xml:space="preserve">. </w:t>
      </w:r>
    </w:p>
    <w:p w14:paraId="5D279EC6" w14:textId="41CAAD11" w:rsidR="00BA1DD6" w:rsidRPr="00552FD9" w:rsidRDefault="00C10B30" w:rsidP="00702CD3">
      <w:pPr>
        <w:pStyle w:val="Tekstpodstawowy"/>
        <w:numPr>
          <w:ilvl w:val="0"/>
          <w:numId w:val="8"/>
        </w:numPr>
        <w:spacing w:line="360" w:lineRule="auto"/>
        <w:rPr>
          <w:position w:val="0"/>
        </w:rPr>
      </w:pPr>
      <w:r w:rsidRPr="00552FD9">
        <w:rPr>
          <w:position w:val="0"/>
          <w:lang w:val="pl-PL"/>
        </w:rPr>
        <w:t>Informacje, o których mowa w § 5 ust. 3</w:t>
      </w:r>
      <w:r w:rsidR="00261B26" w:rsidRPr="00552FD9">
        <w:rPr>
          <w:position w:val="0"/>
          <w:lang w:val="pl-PL"/>
        </w:rPr>
        <w:t>,</w:t>
      </w:r>
      <w:r w:rsidRPr="00552FD9">
        <w:rPr>
          <w:position w:val="0"/>
          <w:lang w:val="pl-PL"/>
        </w:rPr>
        <w:t xml:space="preserve"> są dodatkowo </w:t>
      </w:r>
      <w:r w:rsidR="002E1770" w:rsidRPr="00552FD9">
        <w:rPr>
          <w:position w:val="0"/>
          <w:lang w:val="pl-PL"/>
        </w:rPr>
        <w:t>dostępne</w:t>
      </w:r>
      <w:r w:rsidRPr="00552FD9">
        <w:rPr>
          <w:position w:val="0"/>
          <w:lang w:val="pl-PL"/>
        </w:rPr>
        <w:t xml:space="preserve"> </w:t>
      </w:r>
      <w:r w:rsidR="00923355" w:rsidRPr="00552FD9">
        <w:rPr>
          <w:position w:val="0"/>
          <w:lang w:val="pl-PL"/>
        </w:rPr>
        <w:t xml:space="preserve">i na bieżąco aktualizowane </w:t>
      </w:r>
      <w:r w:rsidRPr="00552FD9">
        <w:rPr>
          <w:position w:val="0"/>
          <w:lang w:val="pl-PL"/>
        </w:rPr>
        <w:t xml:space="preserve">w wersji elektronicznej na stronie internetowej Banku </w:t>
      </w:r>
      <w:r w:rsidR="00F42A8F" w:rsidRPr="00552FD9">
        <w:rPr>
          <w:position w:val="0"/>
          <w:lang w:val="pl-PL"/>
        </w:rPr>
        <w:t>(www.sgb.p</w:t>
      </w:r>
      <w:r w:rsidR="00702CD3" w:rsidRPr="00552FD9">
        <w:rPr>
          <w:position w:val="0"/>
          <w:lang w:val="pl-PL"/>
        </w:rPr>
        <w:t>l</w:t>
      </w:r>
      <w:r w:rsidR="00F42A8F" w:rsidRPr="00552FD9">
        <w:rPr>
          <w:position w:val="0"/>
          <w:lang w:val="pl-PL"/>
        </w:rPr>
        <w:t>)</w:t>
      </w:r>
      <w:r w:rsidRPr="00552FD9">
        <w:rPr>
          <w:position w:val="0"/>
          <w:lang w:val="pl-PL"/>
        </w:rPr>
        <w:t xml:space="preserve"> </w:t>
      </w:r>
      <w:r w:rsidR="00994288" w:rsidRPr="00552FD9">
        <w:rPr>
          <w:position w:val="0"/>
          <w:lang w:val="pl-PL"/>
        </w:rPr>
        <w:br/>
      </w:r>
      <w:r w:rsidRPr="00552FD9">
        <w:rPr>
          <w:position w:val="0"/>
          <w:lang w:val="pl-PL"/>
        </w:rPr>
        <w:t>w zakładce</w:t>
      </w:r>
      <w:r w:rsidR="00702CD3" w:rsidRPr="00552FD9">
        <w:rPr>
          <w:position w:val="0"/>
          <w:lang w:val="pl-PL"/>
        </w:rPr>
        <w:t xml:space="preserve"> </w:t>
      </w:r>
      <w:r w:rsidR="006A712E" w:rsidRPr="00552FD9">
        <w:rPr>
          <w:position w:val="0"/>
          <w:lang w:val="pl-PL"/>
        </w:rPr>
        <w:t>SGB-Banku S.A.</w:t>
      </w:r>
      <w:r w:rsidR="00E7643B" w:rsidRPr="00552FD9">
        <w:rPr>
          <w:position w:val="0"/>
          <w:lang w:val="pl-PL"/>
        </w:rPr>
        <w:t xml:space="preserve"> </w:t>
      </w:r>
      <w:r w:rsidR="006A712E" w:rsidRPr="00552FD9">
        <w:rPr>
          <w:position w:val="0"/>
          <w:lang w:val="pl-PL"/>
        </w:rPr>
        <w:t>/</w:t>
      </w:r>
      <w:r w:rsidR="00E7643B" w:rsidRPr="00552FD9">
        <w:rPr>
          <w:position w:val="0"/>
          <w:lang w:val="pl-PL"/>
        </w:rPr>
        <w:t xml:space="preserve"> </w:t>
      </w:r>
      <w:r w:rsidR="006A712E" w:rsidRPr="00552FD9">
        <w:rPr>
          <w:position w:val="0"/>
          <w:lang w:val="pl-PL"/>
        </w:rPr>
        <w:t>o SGB-Banku S.A.</w:t>
      </w:r>
      <w:r w:rsidR="00E7643B" w:rsidRPr="00552FD9">
        <w:rPr>
          <w:position w:val="0"/>
          <w:lang w:val="pl-PL"/>
        </w:rPr>
        <w:t xml:space="preserve"> </w:t>
      </w:r>
      <w:r w:rsidR="006A712E" w:rsidRPr="00552FD9">
        <w:rPr>
          <w:position w:val="0"/>
          <w:lang w:val="pl-PL"/>
        </w:rPr>
        <w:t>/</w:t>
      </w:r>
      <w:r w:rsidR="00E7643B" w:rsidRPr="00552FD9">
        <w:rPr>
          <w:position w:val="0"/>
          <w:lang w:val="pl-PL"/>
        </w:rPr>
        <w:t xml:space="preserve"> </w:t>
      </w:r>
      <w:r w:rsidR="006A712E" w:rsidRPr="00552FD9">
        <w:rPr>
          <w:position w:val="0"/>
          <w:lang w:val="pl-PL"/>
        </w:rPr>
        <w:t>Polityka informacyjna Banku</w:t>
      </w:r>
      <w:r w:rsidR="00702CD3" w:rsidRPr="00552FD9">
        <w:rPr>
          <w:position w:val="0"/>
          <w:lang w:val="pl-PL"/>
        </w:rPr>
        <w:t>.</w:t>
      </w:r>
    </w:p>
    <w:p w14:paraId="5402F3EF" w14:textId="77777777" w:rsidR="009521AC" w:rsidRPr="00552FD9" w:rsidRDefault="00F60576" w:rsidP="00F60576">
      <w:pPr>
        <w:pStyle w:val="Tekstpodstawowy"/>
        <w:spacing w:line="360" w:lineRule="auto"/>
        <w:jc w:val="center"/>
        <w:rPr>
          <w:position w:val="0"/>
          <w:lang w:val="pl-PL"/>
        </w:rPr>
      </w:pPr>
      <w:r w:rsidRPr="00552FD9">
        <w:rPr>
          <w:b/>
          <w:bCs/>
        </w:rPr>
        <w:t>§</w:t>
      </w:r>
      <w:r w:rsidRPr="00552FD9">
        <w:rPr>
          <w:b/>
          <w:bCs/>
          <w:lang w:val="pl-PL"/>
        </w:rPr>
        <w:t xml:space="preserve"> 7</w:t>
      </w:r>
    </w:p>
    <w:p w14:paraId="10550825" w14:textId="77777777" w:rsidR="00966EAD" w:rsidRPr="00552FD9" w:rsidRDefault="00D765B6" w:rsidP="003830CA">
      <w:pPr>
        <w:pStyle w:val="Nagwek2"/>
        <w:spacing w:after="360"/>
      </w:pPr>
      <w:bookmarkStart w:id="13" w:name="_Toc467760319"/>
      <w:bookmarkStart w:id="14" w:name="_Toc71277921"/>
      <w:r w:rsidRPr="00552FD9">
        <w:t>Zatwierdzanie i w</w:t>
      </w:r>
      <w:r w:rsidR="00966EAD" w:rsidRPr="00552FD9">
        <w:t>eryfikacja ujawnianych informacji</w:t>
      </w:r>
      <w:bookmarkEnd w:id="13"/>
      <w:bookmarkEnd w:id="14"/>
    </w:p>
    <w:p w14:paraId="292631A2" w14:textId="77777777" w:rsidR="00D765B6" w:rsidRPr="00552FD9" w:rsidRDefault="00D765B6" w:rsidP="0027429F">
      <w:pPr>
        <w:pStyle w:val="Akapitzlist"/>
        <w:numPr>
          <w:ilvl w:val="0"/>
          <w:numId w:val="4"/>
        </w:numPr>
        <w:spacing w:line="360" w:lineRule="auto"/>
        <w:ind w:left="357" w:hanging="357"/>
        <w:jc w:val="both"/>
      </w:pPr>
      <w:r w:rsidRPr="00552FD9">
        <w:t>Zarząd</w:t>
      </w:r>
      <w:r w:rsidR="00054360" w:rsidRPr="00552FD9">
        <w:t xml:space="preserve"> i Rada Nadzorcza</w:t>
      </w:r>
      <w:r w:rsidRPr="00552FD9">
        <w:t>:</w:t>
      </w:r>
    </w:p>
    <w:p w14:paraId="394AE48D" w14:textId="77777777" w:rsidR="00D765B6" w:rsidRPr="00552FD9" w:rsidRDefault="00D765B6" w:rsidP="00794F27">
      <w:pPr>
        <w:pStyle w:val="Akapitzlist"/>
        <w:numPr>
          <w:ilvl w:val="0"/>
          <w:numId w:val="19"/>
        </w:numPr>
        <w:spacing w:line="360" w:lineRule="auto"/>
        <w:jc w:val="both"/>
      </w:pPr>
      <w:r w:rsidRPr="00552FD9">
        <w:t>zatwierdza</w:t>
      </w:r>
      <w:r w:rsidR="008161F0" w:rsidRPr="00552FD9">
        <w:t>ją</w:t>
      </w:r>
      <w:r w:rsidRPr="00552FD9">
        <w:t xml:space="preserve"> każdorazowo informację, która ma zostać przekazana do wiadomości publicznej;</w:t>
      </w:r>
    </w:p>
    <w:p w14:paraId="092EC0C1" w14:textId="77777777" w:rsidR="00D765B6" w:rsidRPr="00552FD9" w:rsidRDefault="00D765B6" w:rsidP="00763F23">
      <w:pPr>
        <w:pStyle w:val="Akapitzlist"/>
        <w:numPr>
          <w:ilvl w:val="0"/>
          <w:numId w:val="19"/>
        </w:numPr>
        <w:spacing w:line="360" w:lineRule="auto"/>
        <w:jc w:val="both"/>
      </w:pPr>
      <w:r w:rsidRPr="00552FD9">
        <w:t>zatwierdza</w:t>
      </w:r>
      <w:r w:rsidR="008161F0" w:rsidRPr="00552FD9">
        <w:t>ją</w:t>
      </w:r>
      <w:r w:rsidRPr="00552FD9">
        <w:t xml:space="preserve"> każdorazowo informację, która ma zostać pominięta w ujawnianiu</w:t>
      </w:r>
      <w:r w:rsidR="003E1F67" w:rsidRPr="00552FD9">
        <w:t xml:space="preserve"> zgodnie z zasadami określonymi w § 4</w:t>
      </w:r>
      <w:r w:rsidR="003E61ED" w:rsidRPr="00552FD9">
        <w:t>.</w:t>
      </w:r>
      <w:r w:rsidRPr="00552FD9">
        <w:t xml:space="preserve"> </w:t>
      </w:r>
    </w:p>
    <w:p w14:paraId="61A5632F" w14:textId="6E4606FE" w:rsidR="00D765B6" w:rsidRPr="00552FD9" w:rsidRDefault="003E61ED" w:rsidP="00311BD1">
      <w:pPr>
        <w:pStyle w:val="Akapitzlist"/>
        <w:numPr>
          <w:ilvl w:val="0"/>
          <w:numId w:val="4"/>
        </w:numPr>
        <w:spacing w:line="360" w:lineRule="auto"/>
        <w:ind w:left="357" w:hanging="357"/>
        <w:jc w:val="both"/>
      </w:pPr>
      <w:r w:rsidRPr="00552FD9">
        <w:t xml:space="preserve">Zarząd </w:t>
      </w:r>
      <w:r w:rsidR="00D765B6" w:rsidRPr="00552FD9">
        <w:t>przekazuje</w:t>
      </w:r>
      <w:r w:rsidR="0047557A" w:rsidRPr="00552FD9">
        <w:t xml:space="preserve"> </w:t>
      </w:r>
      <w:r w:rsidR="003E1F67" w:rsidRPr="00552FD9">
        <w:t>Zapewnieni</w:t>
      </w:r>
      <w:r w:rsidR="00455258">
        <w:t>u</w:t>
      </w:r>
      <w:r w:rsidR="003E1F67" w:rsidRPr="00552FD9">
        <w:t xml:space="preserve"> </w:t>
      </w:r>
      <w:r w:rsidR="00455258">
        <w:t>z</w:t>
      </w:r>
      <w:r w:rsidR="003E1F67" w:rsidRPr="00552FD9">
        <w:t>godności</w:t>
      </w:r>
      <w:r w:rsidR="003003DB" w:rsidRPr="00552FD9">
        <w:t xml:space="preserve"> </w:t>
      </w:r>
      <w:r w:rsidR="00256933" w:rsidRPr="00552FD9">
        <w:t xml:space="preserve">oraz </w:t>
      </w:r>
      <w:r w:rsidR="00455258">
        <w:t>Rachunkowości i sprawozdawczości</w:t>
      </w:r>
      <w:r w:rsidR="003E1F67" w:rsidRPr="00552FD9">
        <w:t xml:space="preserve"> </w:t>
      </w:r>
      <w:r w:rsidR="00D765B6" w:rsidRPr="00552FD9">
        <w:t>informacje zatwierdzone do przekazania do wiadomości publicznej oraz informacje pominięte w</w:t>
      </w:r>
      <w:r w:rsidR="00F5173B" w:rsidRPr="00552FD9">
        <w:t> </w:t>
      </w:r>
      <w:r w:rsidR="00D765B6" w:rsidRPr="00552FD9">
        <w:t>ujawnianiu.</w:t>
      </w:r>
    </w:p>
    <w:p w14:paraId="20DAEF52" w14:textId="77777777" w:rsidR="00C73875" w:rsidRPr="00552FD9" w:rsidRDefault="007942F0" w:rsidP="0027429F">
      <w:pPr>
        <w:pStyle w:val="Akapitzlist"/>
        <w:numPr>
          <w:ilvl w:val="0"/>
          <w:numId w:val="4"/>
        </w:numPr>
        <w:spacing w:line="360" w:lineRule="auto"/>
        <w:ind w:left="357" w:hanging="357"/>
        <w:jc w:val="both"/>
      </w:pPr>
      <w:r w:rsidRPr="00552FD9">
        <w:t xml:space="preserve">Wszyscy członkowie Zarządu </w:t>
      </w:r>
      <w:r w:rsidR="00C73875" w:rsidRPr="00552FD9">
        <w:t>poświadcza</w:t>
      </w:r>
      <w:r w:rsidRPr="00552FD9">
        <w:t xml:space="preserve">ją </w:t>
      </w:r>
      <w:r w:rsidR="00C73875" w:rsidRPr="00552FD9">
        <w:t xml:space="preserve">na piśmie, że </w:t>
      </w:r>
      <w:r w:rsidR="000B0FA3" w:rsidRPr="00552FD9">
        <w:t xml:space="preserve">wedle ich najlepszej wiedzy </w:t>
      </w:r>
      <w:r w:rsidR="00C73875" w:rsidRPr="00552FD9">
        <w:t xml:space="preserve">ujawniane informacje zostały przygotowane zgodnie z </w:t>
      </w:r>
      <w:r w:rsidR="00E4736F" w:rsidRPr="00552FD9">
        <w:t xml:space="preserve">wewnętrznymi procedurami, systemami i mechanizmami kontroli, w tym zgodnie z </w:t>
      </w:r>
      <w:r w:rsidR="00C73875" w:rsidRPr="00552FD9">
        <w:t>Polityką Ujawniania.</w:t>
      </w:r>
    </w:p>
    <w:p w14:paraId="0A1BF030" w14:textId="11612DF8" w:rsidR="00AA6D6C" w:rsidRPr="00552FD9" w:rsidRDefault="00455258" w:rsidP="0027429F">
      <w:pPr>
        <w:pStyle w:val="Akapitzlist"/>
        <w:numPr>
          <w:ilvl w:val="0"/>
          <w:numId w:val="4"/>
        </w:numPr>
        <w:spacing w:line="360" w:lineRule="auto"/>
        <w:ind w:left="357" w:hanging="357"/>
        <w:jc w:val="both"/>
      </w:pPr>
      <w:r>
        <w:t>Rachunkowość i sprawozdawczość</w:t>
      </w:r>
      <w:r w:rsidR="00890628" w:rsidRPr="00552FD9">
        <w:t xml:space="preserve"> dokonuje weryfikacji ujawnianych informacji w celu zapewnienia, że uczestnicy rynku otrzymują kompleksowy obraz profilu ryzyka Banku</w:t>
      </w:r>
      <w:r w:rsidR="00A55435" w:rsidRPr="00552FD9">
        <w:t xml:space="preserve"> oraz że ujawniane informacje są adekwatne</w:t>
      </w:r>
      <w:r w:rsidR="005D5495" w:rsidRPr="00552FD9">
        <w:t>,</w:t>
      </w:r>
      <w:r w:rsidR="00A55435" w:rsidRPr="00552FD9">
        <w:t xml:space="preserve"> prawidłowe</w:t>
      </w:r>
      <w:r w:rsidR="005D5495" w:rsidRPr="00552FD9">
        <w:t xml:space="preserve"> i zgodne ze sprawozdaniem finansowym</w:t>
      </w:r>
      <w:r w:rsidR="00890628" w:rsidRPr="00552FD9">
        <w:t xml:space="preserve">. </w:t>
      </w:r>
      <w:r w:rsidR="00AA6D6C" w:rsidRPr="00552FD9">
        <w:t xml:space="preserve">Dokonując weryfikacji </w:t>
      </w:r>
      <w:r>
        <w:t>Rachunkowość i sprawozdawczość</w:t>
      </w:r>
      <w:r w:rsidR="00986AF1" w:rsidRPr="00552FD9">
        <w:t xml:space="preserve"> </w:t>
      </w:r>
      <w:r w:rsidR="00AA6D6C" w:rsidRPr="00552FD9">
        <w:t>stwierdza</w:t>
      </w:r>
      <w:r w:rsidR="00565286" w:rsidRPr="00552FD9">
        <w:t>,</w:t>
      </w:r>
      <w:r w:rsidR="00AA6D6C" w:rsidRPr="00552FD9">
        <w:t xml:space="preserve"> czy ujawniane informacje są zgodne z zasadami: przejrzystości, przydatności, spójności </w:t>
      </w:r>
      <w:r w:rsidR="00AA6D6C" w:rsidRPr="00552FD9">
        <w:lastRenderedPageBreak/>
        <w:t>czasowej oraz porównywalności między instytucjami</w:t>
      </w:r>
      <w:r w:rsidR="00565286" w:rsidRPr="00552FD9">
        <w:t>,</w:t>
      </w:r>
      <w:r w:rsidR="00AA6D6C" w:rsidRPr="00552FD9">
        <w:t xml:space="preserve"> zgodnie z Wytycznymi EUNB 2016/11.</w:t>
      </w:r>
      <w:r w:rsidR="0079598B" w:rsidRPr="00552FD9">
        <w:t xml:space="preserve"> </w:t>
      </w:r>
    </w:p>
    <w:p w14:paraId="6CDA1B48" w14:textId="1E2C4B8B" w:rsidR="00910C61" w:rsidRPr="00552FD9" w:rsidRDefault="00455258" w:rsidP="0027429F">
      <w:pPr>
        <w:pStyle w:val="Akapitzlist"/>
        <w:numPr>
          <w:ilvl w:val="0"/>
          <w:numId w:val="4"/>
        </w:numPr>
        <w:spacing w:line="360" w:lineRule="auto"/>
        <w:ind w:left="357" w:hanging="357"/>
        <w:jc w:val="both"/>
      </w:pPr>
      <w:r>
        <w:t>Rachunkowość i sprawozdawczość</w:t>
      </w:r>
      <w:r w:rsidR="00986AF1" w:rsidRPr="00552FD9">
        <w:t xml:space="preserve"> </w:t>
      </w:r>
      <w:r w:rsidR="00910C61" w:rsidRPr="00552FD9">
        <w:t>weryfikuje odstępstwa od obowiązku ujawniania informacji, o których mowa w § 4</w:t>
      </w:r>
      <w:r w:rsidR="00D765B6" w:rsidRPr="00552FD9">
        <w:t xml:space="preserve">. W tym celu </w:t>
      </w:r>
      <w:r>
        <w:t>Rachunkowość i sprawozdawczość</w:t>
      </w:r>
      <w:r w:rsidR="00910C61" w:rsidRPr="00552FD9">
        <w:t xml:space="preserve"> </w:t>
      </w:r>
      <w:r w:rsidR="00D765B6" w:rsidRPr="00552FD9">
        <w:t xml:space="preserve">stosuje </w:t>
      </w:r>
      <w:r w:rsidR="00910C61" w:rsidRPr="00552FD9">
        <w:t>Wytyczne EUNB 2014/14.</w:t>
      </w:r>
    </w:p>
    <w:p w14:paraId="06557BB1" w14:textId="4AAC849B" w:rsidR="00884D0B" w:rsidRPr="00552FD9" w:rsidRDefault="00884D0B" w:rsidP="003B6695">
      <w:pPr>
        <w:pStyle w:val="Akapitzlist"/>
        <w:numPr>
          <w:ilvl w:val="0"/>
          <w:numId w:val="4"/>
        </w:numPr>
        <w:spacing w:line="360" w:lineRule="auto"/>
        <w:ind w:left="357" w:hanging="357"/>
        <w:jc w:val="both"/>
      </w:pPr>
      <w:r w:rsidRPr="00552FD9">
        <w:t xml:space="preserve">Na potrzeby dokonywanej weryfikacji, </w:t>
      </w:r>
      <w:r w:rsidR="00455258">
        <w:t>Rachunkowość i sprawozdawczość</w:t>
      </w:r>
      <w:r w:rsidRPr="00552FD9">
        <w:t xml:space="preserve"> uwzględnia w szczególności informacje przekazane mu zgodnie z § 10 ust. </w:t>
      </w:r>
      <w:r w:rsidR="00070B3D" w:rsidRPr="00552FD9">
        <w:t>6</w:t>
      </w:r>
      <w:r w:rsidRPr="00552FD9">
        <w:t xml:space="preserve">. </w:t>
      </w:r>
    </w:p>
    <w:p w14:paraId="1876E362" w14:textId="7C10A09A" w:rsidR="00A0005B" w:rsidRPr="00552FD9" w:rsidRDefault="00455258" w:rsidP="00CB3885">
      <w:pPr>
        <w:pStyle w:val="Akapitzlist"/>
        <w:numPr>
          <w:ilvl w:val="0"/>
          <w:numId w:val="4"/>
        </w:numPr>
        <w:spacing w:line="360" w:lineRule="auto"/>
        <w:ind w:left="357" w:hanging="357"/>
        <w:jc w:val="both"/>
      </w:pPr>
      <w:r>
        <w:t>Rachunkowość i sprawozdawczość</w:t>
      </w:r>
      <w:r w:rsidR="00986AF1" w:rsidRPr="00552FD9">
        <w:t xml:space="preserve"> </w:t>
      </w:r>
      <w:r w:rsidR="00A0005B" w:rsidRPr="00552FD9">
        <w:t>sporządza raport z weryfikacji ujawnianych informacji</w:t>
      </w:r>
      <w:r w:rsidR="00D765B6" w:rsidRPr="00552FD9">
        <w:t xml:space="preserve"> oraz odstępstw od obowiązku ujawnienia informacji</w:t>
      </w:r>
      <w:r w:rsidR="00A0005B" w:rsidRPr="00552FD9">
        <w:t>.</w:t>
      </w:r>
    </w:p>
    <w:p w14:paraId="23FDF547" w14:textId="35F956A3" w:rsidR="00AD6C33" w:rsidRPr="00552FD9" w:rsidRDefault="00AF5616" w:rsidP="00CB3885">
      <w:pPr>
        <w:pStyle w:val="Akapitzlist"/>
        <w:numPr>
          <w:ilvl w:val="0"/>
          <w:numId w:val="4"/>
        </w:numPr>
        <w:spacing w:line="360" w:lineRule="auto"/>
        <w:ind w:left="357" w:hanging="357"/>
        <w:jc w:val="both"/>
      </w:pPr>
      <w:r>
        <w:t xml:space="preserve">Ryzyko bankowe przekazuje regulację do </w:t>
      </w:r>
      <w:r w:rsidR="0029621B">
        <w:t xml:space="preserve">weryfikacji </w:t>
      </w:r>
      <w:r>
        <w:t>prawnej celem</w:t>
      </w:r>
      <w:r w:rsidRPr="00552FD9">
        <w:t xml:space="preserve"> </w:t>
      </w:r>
      <w:r w:rsidR="0029621B">
        <w:t xml:space="preserve"> ustalenia</w:t>
      </w:r>
      <w:r w:rsidR="00AD6C33" w:rsidRPr="00552FD9">
        <w:t xml:space="preserve"> zgodności z prawem ujawnianych informacji, procesów regulowanych Polityką Ujawniania i działań podejmowanych na jej podstawie.</w:t>
      </w:r>
    </w:p>
    <w:p w14:paraId="60B773FE" w14:textId="77777777" w:rsidR="00BF02EC" w:rsidRPr="00552FD9" w:rsidRDefault="00BF02EC" w:rsidP="00CE0916">
      <w:pPr>
        <w:pStyle w:val="Tekstpodstawowy"/>
        <w:spacing w:line="360" w:lineRule="auto"/>
        <w:rPr>
          <w:bCs/>
          <w:snapToGrid/>
          <w:position w:val="0"/>
        </w:rPr>
      </w:pPr>
    </w:p>
    <w:p w14:paraId="78E9B0E2" w14:textId="77777777" w:rsidR="00BF02EC" w:rsidRPr="00552FD9" w:rsidRDefault="00BF02EC" w:rsidP="007C6965">
      <w:pPr>
        <w:pStyle w:val="Nagwek1"/>
      </w:pPr>
      <w:bookmarkStart w:id="15" w:name="_Toc71277922"/>
      <w:r w:rsidRPr="00552FD9">
        <w:t>Rozdział 3</w:t>
      </w:r>
      <w:bookmarkEnd w:id="15"/>
    </w:p>
    <w:p w14:paraId="3833D799" w14:textId="77777777" w:rsidR="00BF02EC" w:rsidRPr="00552FD9" w:rsidRDefault="00BF02EC" w:rsidP="00CE0916">
      <w:pPr>
        <w:pStyle w:val="Tekstpodstawowy"/>
        <w:spacing w:line="360" w:lineRule="auto"/>
        <w:jc w:val="center"/>
        <w:rPr>
          <w:b/>
          <w:snapToGrid/>
          <w:position w:val="0"/>
          <w:sz w:val="28"/>
          <w:szCs w:val="28"/>
          <w:lang w:val="pl-PL"/>
        </w:rPr>
      </w:pPr>
      <w:bookmarkStart w:id="16" w:name="_Hlk66917803"/>
      <w:r w:rsidRPr="00552FD9">
        <w:rPr>
          <w:b/>
          <w:snapToGrid/>
          <w:position w:val="0"/>
          <w:sz w:val="28"/>
          <w:szCs w:val="28"/>
          <w:lang w:val="pl-PL"/>
        </w:rPr>
        <w:t xml:space="preserve">Zasady uchwalania, </w:t>
      </w:r>
      <w:r w:rsidR="00474033" w:rsidRPr="00552FD9">
        <w:rPr>
          <w:b/>
          <w:snapToGrid/>
          <w:position w:val="0"/>
          <w:sz w:val="28"/>
          <w:szCs w:val="28"/>
          <w:lang w:val="pl-PL"/>
        </w:rPr>
        <w:t xml:space="preserve">zmiany, weryfikacji i </w:t>
      </w:r>
      <w:r w:rsidRPr="00552FD9">
        <w:rPr>
          <w:b/>
          <w:snapToGrid/>
          <w:position w:val="0"/>
          <w:sz w:val="28"/>
          <w:szCs w:val="28"/>
          <w:lang w:val="pl-PL"/>
        </w:rPr>
        <w:t>realizacji Polityki Ujawniania</w:t>
      </w:r>
    </w:p>
    <w:p w14:paraId="37E2C80C" w14:textId="77777777" w:rsidR="00535F95" w:rsidRPr="00552FD9" w:rsidRDefault="00535F95" w:rsidP="00535F95">
      <w:pPr>
        <w:spacing w:line="360" w:lineRule="auto"/>
        <w:jc w:val="center"/>
      </w:pPr>
      <w:bookmarkStart w:id="17" w:name="_Toc467760320"/>
      <w:bookmarkEnd w:id="16"/>
      <w:r w:rsidRPr="00552FD9">
        <w:rPr>
          <w:b/>
          <w:bCs/>
        </w:rPr>
        <w:t>§ 8</w:t>
      </w:r>
    </w:p>
    <w:p w14:paraId="1221486F" w14:textId="77777777" w:rsidR="00535F95" w:rsidRPr="00552FD9" w:rsidRDefault="00535F95" w:rsidP="003830CA">
      <w:pPr>
        <w:pStyle w:val="Nagwek2"/>
        <w:spacing w:after="360"/>
      </w:pPr>
      <w:bookmarkStart w:id="18" w:name="_Toc71277923"/>
      <w:bookmarkEnd w:id="17"/>
      <w:r w:rsidRPr="00552FD9">
        <w:t>Uchwalanie i zmiana Polityki Ujawniania</w:t>
      </w:r>
      <w:bookmarkEnd w:id="18"/>
    </w:p>
    <w:p w14:paraId="21E47629" w14:textId="77777777" w:rsidR="00535F95" w:rsidRPr="00552FD9" w:rsidRDefault="00535F95" w:rsidP="0027429F">
      <w:pPr>
        <w:pStyle w:val="Akapitzlist"/>
        <w:numPr>
          <w:ilvl w:val="0"/>
          <w:numId w:val="5"/>
        </w:numPr>
        <w:spacing w:line="360" w:lineRule="auto"/>
        <w:ind w:left="357" w:hanging="357"/>
        <w:jc w:val="both"/>
      </w:pPr>
      <w:r w:rsidRPr="00552FD9">
        <w:t xml:space="preserve">Zarząd uchwala a Rada Nadzorcza zatwierdza uchwaloną przez Zarząd Politykę Ujawniania. </w:t>
      </w:r>
    </w:p>
    <w:p w14:paraId="5495C056" w14:textId="77777777" w:rsidR="00535F95" w:rsidRPr="00552FD9" w:rsidRDefault="00535F95" w:rsidP="0027429F">
      <w:pPr>
        <w:pStyle w:val="Akapitzlist"/>
        <w:numPr>
          <w:ilvl w:val="0"/>
          <w:numId w:val="5"/>
        </w:numPr>
        <w:spacing w:line="360" w:lineRule="auto"/>
        <w:ind w:left="357" w:hanging="357"/>
        <w:jc w:val="both"/>
      </w:pPr>
      <w:r w:rsidRPr="00552FD9">
        <w:t>Zmiany Polityki Ujawniania wymagają uchwały Zarządu i zatwierdzenia przez Radę Nadzorczą.</w:t>
      </w:r>
    </w:p>
    <w:p w14:paraId="10007AFD" w14:textId="77777777" w:rsidR="00535F95" w:rsidRPr="00552FD9" w:rsidRDefault="00535F95" w:rsidP="00535F95">
      <w:pPr>
        <w:pStyle w:val="Akapitzlist"/>
        <w:spacing w:line="360" w:lineRule="auto"/>
        <w:ind w:left="357"/>
        <w:jc w:val="both"/>
      </w:pPr>
    </w:p>
    <w:p w14:paraId="7D7AE3EB" w14:textId="77777777" w:rsidR="00535F95" w:rsidRPr="00552FD9" w:rsidRDefault="00535F95" w:rsidP="00535F95">
      <w:pPr>
        <w:spacing w:line="360" w:lineRule="auto"/>
        <w:jc w:val="center"/>
      </w:pPr>
      <w:r w:rsidRPr="00552FD9">
        <w:rPr>
          <w:b/>
          <w:bCs/>
        </w:rPr>
        <w:t>§ 9</w:t>
      </w:r>
    </w:p>
    <w:p w14:paraId="6E86AE6C" w14:textId="77777777" w:rsidR="00535F95" w:rsidRPr="00552FD9" w:rsidRDefault="00535F95" w:rsidP="003830CA">
      <w:pPr>
        <w:pStyle w:val="Nagwek2"/>
        <w:spacing w:after="360"/>
      </w:pPr>
      <w:bookmarkStart w:id="19" w:name="_Toc71277924"/>
      <w:r w:rsidRPr="00552FD9">
        <w:t>Weryfikacja Polityki Ujawniania</w:t>
      </w:r>
      <w:bookmarkEnd w:id="19"/>
    </w:p>
    <w:p w14:paraId="3FDE4F68" w14:textId="77777777" w:rsidR="00535F95" w:rsidRPr="00552FD9" w:rsidRDefault="00535F95" w:rsidP="0027429F">
      <w:pPr>
        <w:pStyle w:val="Akapitzlist"/>
        <w:numPr>
          <w:ilvl w:val="0"/>
          <w:numId w:val="18"/>
        </w:numPr>
        <w:spacing w:line="360" w:lineRule="auto"/>
        <w:jc w:val="both"/>
      </w:pPr>
      <w:r w:rsidRPr="00552FD9">
        <w:t>Zarząd</w:t>
      </w:r>
      <w:r w:rsidR="00BE78C8" w:rsidRPr="00552FD9">
        <w:t xml:space="preserve"> </w:t>
      </w:r>
      <w:r w:rsidRPr="00552FD9">
        <w:t>odpowiada za ustalanie zasad weryfikacji adekwatności Polityki Ujawniania</w:t>
      </w:r>
      <w:r w:rsidR="00BE78C8" w:rsidRPr="00552FD9">
        <w:t>.</w:t>
      </w:r>
    </w:p>
    <w:p w14:paraId="4E993175" w14:textId="7A943F26" w:rsidR="00535F95" w:rsidRPr="00552FD9" w:rsidRDefault="00535F95" w:rsidP="0027429F">
      <w:pPr>
        <w:pStyle w:val="Akapitzlist"/>
        <w:numPr>
          <w:ilvl w:val="0"/>
          <w:numId w:val="18"/>
        </w:numPr>
        <w:spacing w:line="360" w:lineRule="auto"/>
        <w:ind w:left="357" w:hanging="357"/>
        <w:jc w:val="both"/>
      </w:pPr>
      <w:r w:rsidRPr="00552FD9">
        <w:t xml:space="preserve">Weryfikacja Polityki Ujawniania przeprowadzana jest przez </w:t>
      </w:r>
      <w:r w:rsidR="00763A45" w:rsidRPr="00552FD9">
        <w:t>Ryzyk</w:t>
      </w:r>
      <w:r w:rsidR="00455258">
        <w:t>o</w:t>
      </w:r>
      <w:r w:rsidR="00763A45" w:rsidRPr="00552FD9">
        <w:t xml:space="preserve"> </w:t>
      </w:r>
      <w:r w:rsidR="00455258">
        <w:t>b</w:t>
      </w:r>
      <w:r w:rsidR="00763A45" w:rsidRPr="00552FD9">
        <w:t>ankowe</w:t>
      </w:r>
      <w:r w:rsidRPr="00552FD9">
        <w:t xml:space="preserve"> z własnej inicjatywy lub w związku z informacjami otrzymywanymi od komórek organizacyjnych Banku</w:t>
      </w:r>
      <w:r w:rsidR="00B664A9" w:rsidRPr="00552FD9">
        <w:t xml:space="preserve"> – nie rzadziej niż raz w roku</w:t>
      </w:r>
      <w:r w:rsidRPr="00552FD9">
        <w:t>.</w:t>
      </w:r>
    </w:p>
    <w:p w14:paraId="660B25D3" w14:textId="16BF1E56" w:rsidR="00535F95" w:rsidRPr="00552FD9" w:rsidRDefault="00535F95" w:rsidP="0027429F">
      <w:pPr>
        <w:pStyle w:val="Akapitzlist"/>
        <w:numPr>
          <w:ilvl w:val="0"/>
          <w:numId w:val="18"/>
        </w:numPr>
        <w:spacing w:line="360" w:lineRule="auto"/>
        <w:ind w:left="357" w:hanging="357"/>
        <w:jc w:val="both"/>
      </w:pPr>
      <w:r w:rsidRPr="00552FD9">
        <w:t xml:space="preserve">Komórki organizacyjne Banku, odpowiedzialne za sporządzanie informacji podlegających </w:t>
      </w:r>
      <w:r w:rsidR="00E32EC0" w:rsidRPr="00552FD9">
        <w:t>ujawnianiu</w:t>
      </w:r>
      <w:r w:rsidRPr="00552FD9">
        <w:t xml:space="preserve"> zgodnie z Polityką Ujawniania, są zobowiązane do przekazywania </w:t>
      </w:r>
      <w:r w:rsidR="00763A45" w:rsidRPr="00552FD9">
        <w:t xml:space="preserve"> Ryzyk</w:t>
      </w:r>
      <w:r w:rsidR="00455258">
        <w:t>u</w:t>
      </w:r>
      <w:r w:rsidR="00763A45" w:rsidRPr="00552FD9">
        <w:t xml:space="preserve"> </w:t>
      </w:r>
      <w:r w:rsidR="00455258">
        <w:t>b</w:t>
      </w:r>
      <w:r w:rsidR="00763A45" w:rsidRPr="00552FD9">
        <w:t>ankowe</w:t>
      </w:r>
      <w:r w:rsidR="00455258">
        <w:t>mu</w:t>
      </w:r>
      <w:r w:rsidRPr="00552FD9">
        <w:t xml:space="preserve"> informacji, które powodują lub mogą powodować konieczność </w:t>
      </w:r>
      <w:r w:rsidR="00A70E4F">
        <w:t xml:space="preserve">aktualizacji </w:t>
      </w:r>
      <w:r w:rsidRPr="00552FD9">
        <w:lastRenderedPageBreak/>
        <w:t>Polityki Ujawniania.</w:t>
      </w:r>
      <w:r w:rsidR="00884D0B" w:rsidRPr="00552FD9">
        <w:t xml:space="preserve"> Ryzyk</w:t>
      </w:r>
      <w:r w:rsidR="00455258">
        <w:t>o</w:t>
      </w:r>
      <w:r w:rsidR="00884D0B" w:rsidRPr="00552FD9">
        <w:t xml:space="preserve"> </w:t>
      </w:r>
      <w:r w:rsidR="00455258">
        <w:t>b</w:t>
      </w:r>
      <w:r w:rsidR="00884D0B" w:rsidRPr="00552FD9">
        <w:t>ankow</w:t>
      </w:r>
      <w:r w:rsidR="00455258">
        <w:t>e</w:t>
      </w:r>
      <w:r w:rsidR="00884D0B" w:rsidRPr="00552FD9">
        <w:t xml:space="preserve"> </w:t>
      </w:r>
      <w:r w:rsidR="000E2B83" w:rsidRPr="00552FD9">
        <w:t xml:space="preserve">może </w:t>
      </w:r>
      <w:r w:rsidR="00D93C18" w:rsidRPr="00552FD9">
        <w:t xml:space="preserve">także </w:t>
      </w:r>
      <w:r w:rsidR="000E2B83" w:rsidRPr="00552FD9">
        <w:t xml:space="preserve">korzystać z informacji </w:t>
      </w:r>
      <w:r w:rsidR="00D93C18" w:rsidRPr="00552FD9">
        <w:t>posiadanych przez inne komórki organizacyjne Banku</w:t>
      </w:r>
      <w:r w:rsidR="00E72A6A" w:rsidRPr="00552FD9">
        <w:t>.</w:t>
      </w:r>
    </w:p>
    <w:p w14:paraId="54B70510" w14:textId="77777777" w:rsidR="00F5173B" w:rsidRPr="00552FD9" w:rsidRDefault="00F5173B" w:rsidP="00C37AD0">
      <w:pPr>
        <w:pStyle w:val="Akapitzlist"/>
        <w:spacing w:line="360" w:lineRule="auto"/>
        <w:ind w:left="357"/>
        <w:jc w:val="both"/>
      </w:pPr>
    </w:p>
    <w:p w14:paraId="0C4A28DB" w14:textId="77777777" w:rsidR="00CE0916" w:rsidRPr="00552FD9" w:rsidRDefault="00F60576" w:rsidP="00CE0916">
      <w:pPr>
        <w:pStyle w:val="Tekstpodstawowy"/>
        <w:spacing w:line="360" w:lineRule="auto"/>
        <w:jc w:val="center"/>
        <w:rPr>
          <w:b/>
          <w:snapToGrid/>
          <w:position w:val="0"/>
          <w:lang w:val="pl-PL"/>
        </w:rPr>
      </w:pPr>
      <w:r w:rsidRPr="00552FD9">
        <w:rPr>
          <w:b/>
          <w:bCs/>
        </w:rPr>
        <w:t>§</w:t>
      </w:r>
      <w:r w:rsidRPr="00552FD9">
        <w:rPr>
          <w:b/>
          <w:bCs/>
          <w:lang w:val="pl-PL"/>
        </w:rPr>
        <w:t xml:space="preserve"> </w:t>
      </w:r>
      <w:r w:rsidR="00535F95" w:rsidRPr="00552FD9">
        <w:rPr>
          <w:b/>
          <w:bCs/>
          <w:lang w:val="pl-PL"/>
        </w:rPr>
        <w:t>10</w:t>
      </w:r>
    </w:p>
    <w:p w14:paraId="140E1E92" w14:textId="77777777" w:rsidR="00A167AA" w:rsidRPr="00552FD9" w:rsidRDefault="00C66595" w:rsidP="003830CA">
      <w:pPr>
        <w:pStyle w:val="Nagwek2"/>
        <w:spacing w:after="360"/>
      </w:pPr>
      <w:bookmarkStart w:id="20" w:name="_Toc71277925"/>
      <w:r w:rsidRPr="00552FD9">
        <w:t>Podmioty odpowiedzialne za realizację Polityki Ujawniania</w:t>
      </w:r>
      <w:bookmarkEnd w:id="20"/>
    </w:p>
    <w:p w14:paraId="7CB785AD" w14:textId="77777777" w:rsidR="00A167AA" w:rsidRPr="00552FD9" w:rsidRDefault="00A167AA" w:rsidP="0027429F">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t xml:space="preserve">Za realizację obowiązków wynikających z niniejszej Polityki </w:t>
      </w:r>
      <w:r w:rsidR="003B4098" w:rsidRPr="00552FD9">
        <w:t xml:space="preserve">Ujawniania </w:t>
      </w:r>
      <w:r w:rsidRPr="00552FD9">
        <w:t xml:space="preserve">odpowiadają pracownicy </w:t>
      </w:r>
      <w:r w:rsidR="00637458" w:rsidRPr="00552FD9">
        <w:t xml:space="preserve">jednostek i </w:t>
      </w:r>
      <w:r w:rsidRPr="00552FD9">
        <w:t xml:space="preserve">komórek organizacyjnych </w:t>
      </w:r>
      <w:r w:rsidR="00FA73DF" w:rsidRPr="00552FD9">
        <w:t xml:space="preserve">Banku </w:t>
      </w:r>
      <w:r w:rsidRPr="00552FD9">
        <w:t>wykonujących zadania związane z pomiarem i monitoringiem ryzyk.</w:t>
      </w:r>
    </w:p>
    <w:p w14:paraId="2790385B" w14:textId="77777777" w:rsidR="00E07E3F" w:rsidRPr="00552FD9" w:rsidRDefault="00A167AA" w:rsidP="0027429F">
      <w:pPr>
        <w:pStyle w:val="Akapitzlist"/>
        <w:numPr>
          <w:ilvl w:val="0"/>
          <w:numId w:val="6"/>
        </w:numPr>
        <w:autoSpaceDE w:val="0"/>
        <w:autoSpaceDN w:val="0"/>
        <w:adjustRightInd w:val="0"/>
        <w:spacing w:line="360" w:lineRule="auto"/>
        <w:ind w:left="357" w:hanging="357"/>
        <w:jc w:val="both"/>
        <w:rPr>
          <w:rFonts w:eastAsia="Calibri"/>
        </w:rPr>
      </w:pPr>
      <w:r w:rsidRPr="00552FD9">
        <w:rPr>
          <w:rFonts w:eastAsia="Calibri"/>
          <w:lang w:eastAsia="en-US"/>
        </w:rPr>
        <w:t xml:space="preserve">W </w:t>
      </w:r>
      <w:r w:rsidRPr="00552FD9">
        <w:rPr>
          <w:rFonts w:eastAsia="Calibri"/>
        </w:rPr>
        <w:t xml:space="preserve">procesie </w:t>
      </w:r>
      <w:r w:rsidRPr="00552FD9">
        <w:rPr>
          <w:rFonts w:eastAsia="Calibri"/>
          <w:lang w:eastAsia="en-US"/>
        </w:rPr>
        <w:t xml:space="preserve">sporządzania informacji udział biorą następujące komórki organizacyjne </w:t>
      </w:r>
      <w:r w:rsidR="00AA0415" w:rsidRPr="00552FD9">
        <w:rPr>
          <w:rFonts w:eastAsia="Calibri"/>
          <w:lang w:eastAsia="en-US"/>
        </w:rPr>
        <w:t>Banku</w:t>
      </w:r>
      <w:r w:rsidRPr="00552FD9">
        <w:rPr>
          <w:rFonts w:eastAsia="Calibri"/>
          <w:lang w:eastAsia="en-US"/>
        </w:rPr>
        <w:t>:</w:t>
      </w:r>
    </w:p>
    <w:p w14:paraId="62CED44C" w14:textId="51466699" w:rsidR="008F75E3" w:rsidRPr="00552FD9" w:rsidRDefault="00127AAC" w:rsidP="008F75E3">
      <w:pPr>
        <w:pStyle w:val="Akapitzlist"/>
        <w:numPr>
          <w:ilvl w:val="0"/>
          <w:numId w:val="16"/>
        </w:numPr>
        <w:autoSpaceDE w:val="0"/>
        <w:autoSpaceDN w:val="0"/>
        <w:adjustRightInd w:val="0"/>
        <w:spacing w:line="360" w:lineRule="auto"/>
        <w:jc w:val="both"/>
        <w:rPr>
          <w:rFonts w:eastAsia="Calibri"/>
        </w:rPr>
      </w:pPr>
      <w:r>
        <w:rPr>
          <w:rFonts w:eastAsia="Calibri"/>
        </w:rPr>
        <w:t>Obszar zarządzania ryzykiem</w:t>
      </w:r>
      <w:r w:rsidR="008F75E3" w:rsidRPr="00552FD9">
        <w:rPr>
          <w:rFonts w:eastAsia="Calibri"/>
        </w:rPr>
        <w:t xml:space="preserve"> – w zakresie </w:t>
      </w:r>
      <w:r w:rsidR="008F75E3" w:rsidRPr="00552FD9">
        <w:t xml:space="preserve">celów i </w:t>
      </w:r>
      <w:r w:rsidR="00BC2B3C" w:rsidRPr="00552FD9">
        <w:t>polityk</w:t>
      </w:r>
      <w:r w:rsidR="008F75E3" w:rsidRPr="00552FD9">
        <w:t xml:space="preserve"> w zakresie zarządzania ryzykiem oddzielnie dla każdej kategorii ryzyka, w tym rodzajów ryzyka (art. 435 CRR), zakresu stosowania wymogów CRR (art. 436 CRR), ekspozycji na ryzyko kredytowe kontrahenta (art. 439 CRR), ekspozycji na ryzyko kredytowe i ryzyko rozmycia (art. 442 CRR), aktywów obciążonych i wolnych od</w:t>
      </w:r>
      <w:r w:rsidR="007655D5" w:rsidRPr="00552FD9">
        <w:t> </w:t>
      </w:r>
      <w:r w:rsidR="008F75E3" w:rsidRPr="00552FD9">
        <w:t>obciążeń (art. 443 CRR), ekspozycji na ryzyko rynkowe</w:t>
      </w:r>
      <w:r w:rsidR="00BC2B3C" w:rsidRPr="00552FD9">
        <w:t xml:space="preserve"> w ramach metody standardowej</w:t>
      </w:r>
      <w:r w:rsidR="008F75E3" w:rsidRPr="00552FD9">
        <w:t xml:space="preserve"> (art. 445 CRR), ryzyk</w:t>
      </w:r>
      <w:r w:rsidR="00BC2B3C" w:rsidRPr="00552FD9">
        <w:t>a</w:t>
      </w:r>
      <w:r w:rsidR="008F75E3" w:rsidRPr="00552FD9">
        <w:t xml:space="preserve"> operacyjn</w:t>
      </w:r>
      <w:r w:rsidR="00BC2B3C" w:rsidRPr="00552FD9">
        <w:t>ego</w:t>
      </w:r>
      <w:r w:rsidR="008F75E3" w:rsidRPr="00552FD9">
        <w:t xml:space="preserve"> (art. 446</w:t>
      </w:r>
      <w:r w:rsidR="00136238">
        <w:t xml:space="preserve"> </w:t>
      </w:r>
      <w:r w:rsidR="008F75E3" w:rsidRPr="00552FD9">
        <w:t>CRR) (Rekomendacja M 17)</w:t>
      </w:r>
      <w:r w:rsidR="00017E4E" w:rsidRPr="00552FD9">
        <w:t xml:space="preserve">, ekspozycji na ryzyko stopy procentowej przypisane pozycjom nieuwzględnionym w portfelu handlowym (art. 448 CRR), opisu systemu zarządzania, w tym systemu zarządzania ryzykiem (art. </w:t>
      </w:r>
      <w:r w:rsidR="00720846" w:rsidRPr="00552FD9">
        <w:t xml:space="preserve">111a ust. 4 Prawa Bankowego), </w:t>
      </w:r>
      <w:r w:rsidR="00DE2F81" w:rsidRPr="00552FD9">
        <w:t xml:space="preserve">informacji na temat </w:t>
      </w:r>
      <w:r w:rsidR="005163A4" w:rsidRPr="00552FD9">
        <w:t>ryzyk</w:t>
      </w:r>
      <w:r w:rsidR="00BC2B3C" w:rsidRPr="00552FD9">
        <w:t xml:space="preserve"> środowiskowych, społecznych i z zakresu ładu korporacyjnego -</w:t>
      </w:r>
      <w:r w:rsidR="005163A4" w:rsidRPr="00552FD9">
        <w:t xml:space="preserve"> ESG (art. 449a CRR), </w:t>
      </w:r>
      <w:r w:rsidR="00720846" w:rsidRPr="00552FD9">
        <w:t>wymogów dotyczących płynności (art. 451a CRR) oraz systemu zarządzania ryzykiem płynności Banku oraz pozycji płynności Banku (Rekomendacja P 18);</w:t>
      </w:r>
    </w:p>
    <w:p w14:paraId="33B34E43" w14:textId="41514345" w:rsidR="00720846" w:rsidRPr="00127AAC" w:rsidRDefault="00F3006E" w:rsidP="00EE2064">
      <w:pPr>
        <w:pStyle w:val="Akapitzlist"/>
        <w:numPr>
          <w:ilvl w:val="0"/>
          <w:numId w:val="16"/>
        </w:numPr>
        <w:autoSpaceDE w:val="0"/>
        <w:autoSpaceDN w:val="0"/>
        <w:adjustRightInd w:val="0"/>
        <w:spacing w:line="360" w:lineRule="auto"/>
        <w:jc w:val="both"/>
        <w:rPr>
          <w:rFonts w:eastAsia="Calibri"/>
        </w:rPr>
      </w:pPr>
      <w:r w:rsidRPr="00552FD9">
        <w:rPr>
          <w:rFonts w:eastAsia="Calibri"/>
        </w:rPr>
        <w:t>Rachunkowo</w:t>
      </w:r>
      <w:r w:rsidR="00B87C1A">
        <w:rPr>
          <w:rFonts w:eastAsia="Calibri"/>
        </w:rPr>
        <w:t>ść i s</w:t>
      </w:r>
      <w:r w:rsidRPr="00552FD9">
        <w:rPr>
          <w:rFonts w:eastAsia="Calibri"/>
        </w:rPr>
        <w:t>prawozdawcz</w:t>
      </w:r>
      <w:r w:rsidR="00B87C1A">
        <w:rPr>
          <w:rFonts w:eastAsia="Calibri"/>
        </w:rPr>
        <w:t>ość</w:t>
      </w:r>
      <w:r w:rsidRPr="00552FD9">
        <w:rPr>
          <w:rFonts w:eastAsia="Calibri"/>
        </w:rPr>
        <w:t xml:space="preserve"> – w zakresie </w:t>
      </w:r>
      <w:r w:rsidRPr="00EE2064">
        <w:rPr>
          <w:rFonts w:eastAsia="Calibri"/>
        </w:rPr>
        <w:t>funduszy własnych (art. 437 z uwzględnieniem art. 492 ust. 4 CRR), wymogów w zakresie funduszy własnych i kwot ekspozycji ważonych ryzykiem</w:t>
      </w:r>
      <w:r w:rsidRPr="00EE2064" w:rsidDel="008E1DAF">
        <w:rPr>
          <w:rFonts w:eastAsia="Calibri"/>
        </w:rPr>
        <w:t xml:space="preserve"> </w:t>
      </w:r>
      <w:r w:rsidRPr="00EE2064">
        <w:rPr>
          <w:rFonts w:eastAsia="Calibri"/>
        </w:rPr>
        <w:t>(art. 438 CRR), przestrzegania wymogu w zakresie bufora antycyklicznego (art. 440 CRR), ekspozycji na ryzyko kredytowe i ryzyko rozmycia (art. 442 CRR), aktywów obciążonych i wolnych od</w:t>
      </w:r>
      <w:r w:rsidR="007655D5" w:rsidRPr="00EE2064">
        <w:rPr>
          <w:rFonts w:eastAsia="Calibri"/>
        </w:rPr>
        <w:t> </w:t>
      </w:r>
      <w:r w:rsidRPr="00EE2064">
        <w:rPr>
          <w:rFonts w:eastAsia="Calibri"/>
        </w:rPr>
        <w:t>obciążeń (art. 443 CRR), ekspozycji na ryzyko rynkowe</w:t>
      </w:r>
      <w:r w:rsidR="00BC2B3C" w:rsidRPr="00EE2064">
        <w:rPr>
          <w:rFonts w:eastAsia="Calibri"/>
        </w:rPr>
        <w:t xml:space="preserve"> w ramach metody standardowej</w:t>
      </w:r>
      <w:r w:rsidRPr="00EE2064">
        <w:rPr>
          <w:rFonts w:eastAsia="Calibri"/>
        </w:rPr>
        <w:t xml:space="preserve"> (art. 445 CRR),</w:t>
      </w:r>
      <w:r w:rsidR="00442CDE" w:rsidRPr="00EE2064">
        <w:rPr>
          <w:rFonts w:eastAsia="Calibri"/>
        </w:rPr>
        <w:t xml:space="preserve"> informacji na temat ryzyk</w:t>
      </w:r>
      <w:r w:rsidR="00BC2B3C" w:rsidRPr="00EE2064">
        <w:rPr>
          <w:rFonts w:eastAsia="Calibri"/>
        </w:rPr>
        <w:t xml:space="preserve"> środowiskowych, społecznych i z zakresu ładu korporacyjnego </w:t>
      </w:r>
      <w:r w:rsidR="00E07333" w:rsidRPr="00EE2064">
        <w:rPr>
          <w:rFonts w:eastAsia="Calibri"/>
        </w:rPr>
        <w:t>–</w:t>
      </w:r>
      <w:r w:rsidR="00442CDE" w:rsidRPr="00EE2064">
        <w:rPr>
          <w:rFonts w:eastAsia="Calibri"/>
        </w:rPr>
        <w:t xml:space="preserve"> </w:t>
      </w:r>
      <w:r w:rsidR="00E07333" w:rsidRPr="00EE2064">
        <w:rPr>
          <w:rFonts w:eastAsia="Calibri"/>
        </w:rPr>
        <w:t xml:space="preserve">ryzyk </w:t>
      </w:r>
      <w:r w:rsidR="00442CDE" w:rsidRPr="00EE2064">
        <w:rPr>
          <w:rFonts w:eastAsia="Calibri"/>
        </w:rPr>
        <w:t>ESG (art. 449a CRR),</w:t>
      </w:r>
      <w:r w:rsidRPr="00EE2064">
        <w:rPr>
          <w:rFonts w:eastAsia="Calibri"/>
        </w:rPr>
        <w:t xml:space="preserve"> technik ograniczenia ryzyka kredytowego (art. 453 CRR)</w:t>
      </w:r>
      <w:r w:rsidR="00127AAC" w:rsidRPr="00EE2064">
        <w:rPr>
          <w:rFonts w:eastAsia="Calibri"/>
        </w:rPr>
        <w:t xml:space="preserve">, </w:t>
      </w:r>
      <w:r w:rsidR="00127AAC" w:rsidRPr="00552FD9">
        <w:rPr>
          <w:rFonts w:eastAsia="Calibri"/>
        </w:rPr>
        <w:t xml:space="preserve">w zakresie </w:t>
      </w:r>
      <w:r w:rsidR="00127AAC" w:rsidRPr="00EE2064">
        <w:rPr>
          <w:rFonts w:eastAsia="Calibri"/>
        </w:rPr>
        <w:t>najważniejszych wskaźników (art. 447 CRR), wskaźnika dźwigni finansowej (art. 451 CRR)</w:t>
      </w:r>
      <w:r w:rsidR="00193DAE" w:rsidRPr="00EE2064">
        <w:rPr>
          <w:rFonts w:eastAsia="Calibri"/>
        </w:rPr>
        <w:t>;</w:t>
      </w:r>
    </w:p>
    <w:p w14:paraId="1251EA2F" w14:textId="1E879F20" w:rsidR="001C4E6C" w:rsidRPr="00552FD9" w:rsidRDefault="001C4E6C" w:rsidP="008F75E3">
      <w:pPr>
        <w:pStyle w:val="Akapitzlist"/>
        <w:numPr>
          <w:ilvl w:val="0"/>
          <w:numId w:val="16"/>
        </w:numPr>
        <w:autoSpaceDE w:val="0"/>
        <w:autoSpaceDN w:val="0"/>
        <w:adjustRightInd w:val="0"/>
        <w:spacing w:line="360" w:lineRule="auto"/>
        <w:jc w:val="both"/>
        <w:rPr>
          <w:rFonts w:eastAsia="Calibri"/>
        </w:rPr>
      </w:pPr>
      <w:r w:rsidRPr="00552FD9">
        <w:rPr>
          <w:rFonts w:eastAsia="Calibri"/>
        </w:rPr>
        <w:lastRenderedPageBreak/>
        <w:t xml:space="preserve"> Analiz</w:t>
      </w:r>
      <w:r w:rsidR="00AC0986">
        <w:rPr>
          <w:rFonts w:eastAsia="Calibri"/>
        </w:rPr>
        <w:t>y</w:t>
      </w:r>
      <w:r w:rsidRPr="00552FD9">
        <w:rPr>
          <w:rFonts w:eastAsia="Calibri"/>
        </w:rPr>
        <w:t xml:space="preserve"> </w:t>
      </w:r>
      <w:r w:rsidR="00B87C1A">
        <w:rPr>
          <w:rFonts w:eastAsia="Calibri"/>
        </w:rPr>
        <w:t>k</w:t>
      </w:r>
      <w:r w:rsidRPr="00552FD9">
        <w:rPr>
          <w:rFonts w:eastAsia="Calibri"/>
        </w:rPr>
        <w:t>redytow</w:t>
      </w:r>
      <w:r w:rsidR="00AC0986">
        <w:rPr>
          <w:rFonts w:eastAsia="Calibri"/>
        </w:rPr>
        <w:t>e</w:t>
      </w:r>
      <w:r w:rsidRPr="00552FD9">
        <w:rPr>
          <w:rFonts w:eastAsia="Calibri"/>
        </w:rPr>
        <w:t xml:space="preserve"> – w zakresie korzystania z zewnętrznej instytucji oceny wiarygodności kredytowej (ECAI) (art. 444 CRR);</w:t>
      </w:r>
    </w:p>
    <w:p w14:paraId="6B91D6BA" w14:textId="46ADD076" w:rsidR="001C4E6C" w:rsidRPr="00552FD9" w:rsidRDefault="001C4E6C" w:rsidP="008F75E3">
      <w:pPr>
        <w:pStyle w:val="Akapitzlist"/>
        <w:numPr>
          <w:ilvl w:val="0"/>
          <w:numId w:val="16"/>
        </w:numPr>
        <w:autoSpaceDE w:val="0"/>
        <w:autoSpaceDN w:val="0"/>
        <w:adjustRightInd w:val="0"/>
        <w:spacing w:line="360" w:lineRule="auto"/>
        <w:jc w:val="both"/>
        <w:rPr>
          <w:rFonts w:eastAsia="Calibri"/>
        </w:rPr>
      </w:pPr>
      <w:r w:rsidRPr="00552FD9">
        <w:rPr>
          <w:rFonts w:eastAsia="Calibri"/>
        </w:rPr>
        <w:t xml:space="preserve"> Restrukturyzacj</w:t>
      </w:r>
      <w:r w:rsidR="00AC0986">
        <w:rPr>
          <w:rFonts w:eastAsia="Calibri"/>
        </w:rPr>
        <w:t>a</w:t>
      </w:r>
      <w:r w:rsidRPr="00552FD9">
        <w:rPr>
          <w:rFonts w:eastAsia="Calibri"/>
        </w:rPr>
        <w:t xml:space="preserve"> i </w:t>
      </w:r>
      <w:r w:rsidR="00B87C1A">
        <w:rPr>
          <w:rFonts w:eastAsia="Calibri"/>
        </w:rPr>
        <w:t>w</w:t>
      </w:r>
      <w:r w:rsidRPr="00552FD9">
        <w:rPr>
          <w:rFonts w:eastAsia="Calibri"/>
        </w:rPr>
        <w:t>indykacj</w:t>
      </w:r>
      <w:r w:rsidR="00AC0986">
        <w:rPr>
          <w:rFonts w:eastAsia="Calibri"/>
        </w:rPr>
        <w:t>a</w:t>
      </w:r>
      <w:r w:rsidRPr="00552FD9">
        <w:rPr>
          <w:rFonts w:eastAsia="Calibri"/>
        </w:rPr>
        <w:t xml:space="preserve"> – w zakresie </w:t>
      </w:r>
      <w:r w:rsidRPr="00552FD9">
        <w:t>ekspozycji na ryzyko kredytowe i ryzyko rozmycia (art. 442 CRR);</w:t>
      </w:r>
    </w:p>
    <w:p w14:paraId="54E78C9D" w14:textId="495C281F" w:rsidR="00174952" w:rsidRPr="00552FD9" w:rsidRDefault="00AC0986" w:rsidP="008F75E3">
      <w:pPr>
        <w:pStyle w:val="Akapitzlist"/>
        <w:numPr>
          <w:ilvl w:val="0"/>
          <w:numId w:val="16"/>
        </w:numPr>
        <w:autoSpaceDE w:val="0"/>
        <w:autoSpaceDN w:val="0"/>
        <w:adjustRightInd w:val="0"/>
        <w:spacing w:line="360" w:lineRule="auto"/>
        <w:jc w:val="both"/>
        <w:rPr>
          <w:rFonts w:eastAsia="Calibri"/>
        </w:rPr>
      </w:pPr>
      <w:r>
        <w:rPr>
          <w:rFonts w:eastAsia="Calibri"/>
        </w:rPr>
        <w:t xml:space="preserve">Rozwój sprzedaży i relacji biznesowych </w:t>
      </w:r>
      <w:r w:rsidR="00174952" w:rsidRPr="00552FD9">
        <w:rPr>
          <w:rFonts w:eastAsia="Calibri"/>
        </w:rPr>
        <w:t xml:space="preserve"> – w zakresie </w:t>
      </w:r>
      <w:r w:rsidR="0055328E" w:rsidRPr="00552FD9">
        <w:t>ekspozycj</w:t>
      </w:r>
      <w:r w:rsidR="00BD602F" w:rsidRPr="00552FD9">
        <w:t>i</w:t>
      </w:r>
      <w:r w:rsidR="0055328E" w:rsidRPr="00552FD9">
        <w:t xml:space="preserve"> objętych zakresem Wytycznych EUNB 2020/02</w:t>
      </w:r>
      <w:r w:rsidR="00902042" w:rsidRPr="00552FD9">
        <w:t>, informacji na temat ryzyk</w:t>
      </w:r>
      <w:r w:rsidR="00E07333" w:rsidRPr="00552FD9">
        <w:t xml:space="preserve"> z zakresu ochrony środowiska, polityki społecznej i ładu korporacyjnego - ryzyk</w:t>
      </w:r>
      <w:r w:rsidR="00902042" w:rsidRPr="00552FD9">
        <w:t xml:space="preserve"> ESG (art. 449a CRR), </w:t>
      </w:r>
      <w:r w:rsidR="0055328E" w:rsidRPr="00552FD9">
        <w:t xml:space="preserve"> oraz o nowo powstałych ekspozycj</w:t>
      </w:r>
      <w:r w:rsidR="00BD602F" w:rsidRPr="00552FD9">
        <w:t>i</w:t>
      </w:r>
      <w:r w:rsidR="0055328E" w:rsidRPr="00552FD9">
        <w:t xml:space="preserve"> objętych programami gwarancji publicznych (pkt 18 Wytycznych EUNB 2020/07);</w:t>
      </w:r>
    </w:p>
    <w:p w14:paraId="6EEDA21D" w14:textId="5A8278ED" w:rsidR="00BD602F" w:rsidRPr="00552FD9" w:rsidRDefault="00381A9D" w:rsidP="008F75E3">
      <w:pPr>
        <w:pStyle w:val="Akapitzlist"/>
        <w:numPr>
          <w:ilvl w:val="0"/>
          <w:numId w:val="16"/>
        </w:numPr>
        <w:autoSpaceDE w:val="0"/>
        <w:autoSpaceDN w:val="0"/>
        <w:adjustRightInd w:val="0"/>
        <w:spacing w:line="360" w:lineRule="auto"/>
        <w:jc w:val="both"/>
        <w:rPr>
          <w:rFonts w:eastAsia="Calibri"/>
        </w:rPr>
      </w:pPr>
      <w:r w:rsidRPr="00552FD9">
        <w:rPr>
          <w:rFonts w:eastAsia="Calibri"/>
        </w:rPr>
        <w:t xml:space="preserve"> </w:t>
      </w:r>
      <w:r w:rsidR="00217300" w:rsidRPr="00552FD9">
        <w:rPr>
          <w:rFonts w:eastAsia="Calibri"/>
        </w:rPr>
        <w:t>HR</w:t>
      </w:r>
      <w:r w:rsidRPr="00552FD9">
        <w:rPr>
          <w:rFonts w:eastAsia="Calibri"/>
        </w:rPr>
        <w:t xml:space="preserve"> i </w:t>
      </w:r>
      <w:r w:rsidR="00217300" w:rsidRPr="00552FD9">
        <w:rPr>
          <w:rFonts w:eastAsia="Calibri"/>
        </w:rPr>
        <w:t>a</w:t>
      </w:r>
      <w:r w:rsidRPr="00552FD9">
        <w:rPr>
          <w:rFonts w:eastAsia="Calibri"/>
        </w:rPr>
        <w:t>dministracj</w:t>
      </w:r>
      <w:r w:rsidR="00AC0986">
        <w:rPr>
          <w:rFonts w:eastAsia="Calibri"/>
        </w:rPr>
        <w:t>a</w:t>
      </w:r>
      <w:r w:rsidRPr="00552FD9">
        <w:rPr>
          <w:rFonts w:eastAsia="Calibri"/>
        </w:rPr>
        <w:t xml:space="preserve">– w zakresie </w:t>
      </w:r>
      <w:r w:rsidRPr="00552FD9">
        <w:t>polityki wynagrodzeń (art. 450 CRR), powołania komitetu do spraw wynagrodzeń, a także spełniania przez członków Rady Nadzorczej i Zarządu wymogów określonych w art. 22aa Prawa Bankowego (art. 111a ust. 4 Prawa Bankowego);</w:t>
      </w:r>
    </w:p>
    <w:p w14:paraId="2D7115D1" w14:textId="3AF8B081" w:rsidR="00381A9D" w:rsidRPr="00552FD9" w:rsidRDefault="00381A9D" w:rsidP="008F75E3">
      <w:pPr>
        <w:pStyle w:val="Akapitzlist"/>
        <w:numPr>
          <w:ilvl w:val="0"/>
          <w:numId w:val="16"/>
        </w:numPr>
        <w:autoSpaceDE w:val="0"/>
        <w:autoSpaceDN w:val="0"/>
        <w:adjustRightInd w:val="0"/>
        <w:spacing w:line="360" w:lineRule="auto"/>
        <w:jc w:val="both"/>
        <w:rPr>
          <w:rFonts w:eastAsia="Calibri"/>
        </w:rPr>
      </w:pPr>
      <w:r w:rsidRPr="00552FD9">
        <w:rPr>
          <w:rFonts w:eastAsia="Calibri"/>
        </w:rPr>
        <w:t xml:space="preserve"> Kontrol</w:t>
      </w:r>
      <w:r w:rsidR="00AC0986">
        <w:rPr>
          <w:rFonts w:eastAsia="Calibri"/>
        </w:rPr>
        <w:t>a</w:t>
      </w:r>
      <w:r w:rsidRPr="00552FD9">
        <w:rPr>
          <w:rFonts w:eastAsia="Calibri"/>
        </w:rPr>
        <w:t xml:space="preserve"> </w:t>
      </w:r>
      <w:r w:rsidR="00AC0986">
        <w:rPr>
          <w:rFonts w:eastAsia="Calibri"/>
        </w:rPr>
        <w:t>w</w:t>
      </w:r>
      <w:r w:rsidRPr="00552FD9">
        <w:rPr>
          <w:rFonts w:eastAsia="Calibri"/>
        </w:rPr>
        <w:t>ewnętrzn</w:t>
      </w:r>
      <w:r w:rsidR="00AC0986">
        <w:rPr>
          <w:rFonts w:eastAsia="Calibri"/>
        </w:rPr>
        <w:t>a</w:t>
      </w:r>
      <w:r w:rsidRPr="00552FD9">
        <w:rPr>
          <w:rFonts w:eastAsia="Calibri"/>
        </w:rPr>
        <w:t xml:space="preserve"> – w zakresie </w:t>
      </w:r>
      <w:r w:rsidRPr="00552FD9">
        <w:t xml:space="preserve">opisu systemu zarządzania, </w:t>
      </w:r>
      <w:r w:rsidR="00686835" w:rsidRPr="00552FD9">
        <w:br/>
      </w:r>
      <w:r w:rsidRPr="00552FD9">
        <w:t>w tym systemu kontroli wewnętrznej (art. 111a ust. 4 Prawa Bankowego) (Rekomendacja H 1.11)</w:t>
      </w:r>
      <w:r w:rsidR="001C4E6C" w:rsidRPr="00552FD9">
        <w:t>.</w:t>
      </w:r>
    </w:p>
    <w:p w14:paraId="665EC053" w14:textId="5C1AEA40" w:rsidR="00AA689B" w:rsidRPr="00552FD9" w:rsidRDefault="00D27176" w:rsidP="0027429F">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rPr>
          <w:rFonts w:eastAsia="Calibri"/>
          <w:lang w:eastAsia="en-US"/>
        </w:rPr>
        <w:t xml:space="preserve"> </w:t>
      </w:r>
      <w:r w:rsidR="00A322B9" w:rsidRPr="00552FD9">
        <w:rPr>
          <w:rFonts w:eastAsia="Calibri"/>
          <w:lang w:eastAsia="en-US"/>
        </w:rPr>
        <w:t>Ryzyk</w:t>
      </w:r>
      <w:r w:rsidR="00AC0986">
        <w:rPr>
          <w:rFonts w:eastAsia="Calibri"/>
          <w:lang w:eastAsia="en-US"/>
        </w:rPr>
        <w:t>o</w:t>
      </w:r>
      <w:r w:rsidR="00A322B9" w:rsidRPr="00552FD9">
        <w:rPr>
          <w:rFonts w:eastAsia="Calibri"/>
          <w:lang w:eastAsia="en-US"/>
        </w:rPr>
        <w:t xml:space="preserve"> </w:t>
      </w:r>
      <w:r w:rsidR="00B87C1A">
        <w:rPr>
          <w:rFonts w:eastAsia="Calibri"/>
          <w:lang w:eastAsia="en-US"/>
        </w:rPr>
        <w:t>b</w:t>
      </w:r>
      <w:r w:rsidR="00A322B9" w:rsidRPr="00552FD9">
        <w:rPr>
          <w:rFonts w:eastAsia="Calibri"/>
          <w:lang w:eastAsia="en-US"/>
        </w:rPr>
        <w:t>ankow</w:t>
      </w:r>
      <w:r w:rsidR="00A70E4F">
        <w:rPr>
          <w:rFonts w:eastAsia="Calibri"/>
          <w:lang w:eastAsia="en-US"/>
        </w:rPr>
        <w:t>e</w:t>
      </w:r>
      <w:r w:rsidR="00A322B9" w:rsidRPr="00552FD9">
        <w:rPr>
          <w:rFonts w:eastAsia="Calibri"/>
          <w:lang w:eastAsia="en-US"/>
        </w:rPr>
        <w:t xml:space="preserve"> </w:t>
      </w:r>
      <w:r w:rsidR="00AA689B" w:rsidRPr="00552FD9">
        <w:rPr>
          <w:rFonts w:eastAsia="Calibri"/>
          <w:lang w:eastAsia="en-US"/>
        </w:rPr>
        <w:t>odpowiada</w:t>
      </w:r>
      <w:r w:rsidR="00A167AA" w:rsidRPr="00552FD9">
        <w:rPr>
          <w:rFonts w:eastAsia="Calibri"/>
          <w:lang w:eastAsia="en-US"/>
        </w:rPr>
        <w:t xml:space="preserve"> za</w:t>
      </w:r>
      <w:r w:rsidR="00AA689B" w:rsidRPr="00552FD9">
        <w:rPr>
          <w:rFonts w:eastAsia="Calibri"/>
          <w:lang w:eastAsia="en-US"/>
        </w:rPr>
        <w:t>:</w:t>
      </w:r>
      <w:r w:rsidR="00A167AA" w:rsidRPr="00552FD9">
        <w:rPr>
          <w:rFonts w:eastAsia="Calibri"/>
          <w:lang w:eastAsia="en-US"/>
        </w:rPr>
        <w:t xml:space="preserve"> </w:t>
      </w:r>
    </w:p>
    <w:p w14:paraId="5C052257" w14:textId="77777777" w:rsidR="00A55435" w:rsidRPr="00552FD9" w:rsidRDefault="00A167AA" w:rsidP="0027429F">
      <w:pPr>
        <w:pStyle w:val="Akapitzlist"/>
        <w:numPr>
          <w:ilvl w:val="0"/>
          <w:numId w:val="13"/>
        </w:numPr>
        <w:autoSpaceDE w:val="0"/>
        <w:autoSpaceDN w:val="0"/>
        <w:adjustRightInd w:val="0"/>
        <w:spacing w:line="360" w:lineRule="auto"/>
        <w:jc w:val="both"/>
        <w:rPr>
          <w:rFonts w:eastAsia="Calibri"/>
          <w:lang w:eastAsia="en-US"/>
        </w:rPr>
      </w:pPr>
      <w:r w:rsidRPr="00552FD9">
        <w:rPr>
          <w:rFonts w:eastAsia="Calibri"/>
          <w:lang w:eastAsia="en-US"/>
        </w:rPr>
        <w:t>ko</w:t>
      </w:r>
      <w:r w:rsidR="00473AAE" w:rsidRPr="00552FD9">
        <w:rPr>
          <w:rFonts w:eastAsia="Calibri"/>
          <w:lang w:eastAsia="en-US"/>
        </w:rPr>
        <w:t>o</w:t>
      </w:r>
      <w:r w:rsidRPr="00552FD9">
        <w:rPr>
          <w:rFonts w:eastAsia="Calibri"/>
          <w:lang w:eastAsia="en-US"/>
        </w:rPr>
        <w:t xml:space="preserve">rdynację procesu weryfikacji </w:t>
      </w:r>
      <w:r w:rsidR="00AA689B" w:rsidRPr="00552FD9">
        <w:rPr>
          <w:rFonts w:eastAsia="Calibri"/>
          <w:lang w:eastAsia="en-US"/>
        </w:rPr>
        <w:t xml:space="preserve">informacji </w:t>
      </w:r>
      <w:r w:rsidRPr="00552FD9">
        <w:rPr>
          <w:rFonts w:eastAsia="Calibri"/>
          <w:lang w:eastAsia="en-US"/>
        </w:rPr>
        <w:t xml:space="preserve">przygotowywanych przez </w:t>
      </w:r>
      <w:r w:rsidR="00AA689B" w:rsidRPr="00552FD9">
        <w:rPr>
          <w:rFonts w:eastAsia="Calibri"/>
          <w:lang w:eastAsia="en-US"/>
        </w:rPr>
        <w:t xml:space="preserve">komórki organizacyjne Banku </w:t>
      </w:r>
      <w:r w:rsidR="002527E5" w:rsidRPr="00552FD9">
        <w:rPr>
          <w:rFonts w:eastAsia="Calibri"/>
          <w:lang w:eastAsia="en-US"/>
        </w:rPr>
        <w:t>zgodnie z ust. 2 powyżej</w:t>
      </w:r>
      <w:r w:rsidR="001A5F85" w:rsidRPr="00552FD9">
        <w:rPr>
          <w:rFonts w:eastAsia="Calibri"/>
          <w:lang w:eastAsia="en-US"/>
        </w:rPr>
        <w:t>,</w:t>
      </w:r>
    </w:p>
    <w:p w14:paraId="4C035CEA" w14:textId="026C81D2" w:rsidR="001A5F85" w:rsidRPr="00552FD9" w:rsidRDefault="00C37AD0" w:rsidP="0027429F">
      <w:pPr>
        <w:pStyle w:val="Akapitzlist"/>
        <w:numPr>
          <w:ilvl w:val="0"/>
          <w:numId w:val="13"/>
        </w:numPr>
        <w:autoSpaceDE w:val="0"/>
        <w:autoSpaceDN w:val="0"/>
        <w:adjustRightInd w:val="0"/>
        <w:spacing w:line="360" w:lineRule="auto"/>
        <w:jc w:val="both"/>
        <w:rPr>
          <w:rFonts w:eastAsia="Calibri"/>
          <w:lang w:eastAsia="en-US"/>
        </w:rPr>
      </w:pPr>
      <w:r w:rsidRPr="00552FD9">
        <w:rPr>
          <w:rFonts w:eastAsia="Calibri"/>
          <w:lang w:eastAsia="en-US"/>
        </w:rPr>
        <w:t>sporządzenie, przy udziale  Rachunkowo</w:t>
      </w:r>
      <w:r w:rsidR="00B87C1A">
        <w:rPr>
          <w:rFonts w:eastAsia="Calibri"/>
          <w:lang w:eastAsia="en-US"/>
        </w:rPr>
        <w:t>ści i sprawozdawczości</w:t>
      </w:r>
      <w:r w:rsidRPr="00552FD9">
        <w:rPr>
          <w:rFonts w:eastAsia="Calibri"/>
          <w:lang w:eastAsia="en-US"/>
        </w:rPr>
        <w:t xml:space="preserve">, rekomendacji dotyczącej </w:t>
      </w:r>
      <w:r w:rsidR="001A5F85" w:rsidRPr="00552FD9">
        <w:rPr>
          <w:rFonts w:eastAsia="Calibri"/>
          <w:lang w:eastAsia="en-US"/>
        </w:rPr>
        <w:t>pominięcia ujawnienia informacji zgodnie z § 4,</w:t>
      </w:r>
    </w:p>
    <w:p w14:paraId="381059C5" w14:textId="77777777" w:rsidR="00A167AA" w:rsidRPr="00552FD9" w:rsidRDefault="00AA689B" w:rsidP="0027429F">
      <w:pPr>
        <w:pStyle w:val="Akapitzlist"/>
        <w:numPr>
          <w:ilvl w:val="0"/>
          <w:numId w:val="13"/>
        </w:numPr>
        <w:autoSpaceDE w:val="0"/>
        <w:autoSpaceDN w:val="0"/>
        <w:adjustRightInd w:val="0"/>
        <w:spacing w:line="360" w:lineRule="auto"/>
        <w:jc w:val="both"/>
        <w:rPr>
          <w:rFonts w:eastAsia="Calibri"/>
          <w:lang w:eastAsia="en-US"/>
        </w:rPr>
      </w:pPr>
      <w:r w:rsidRPr="00552FD9">
        <w:rPr>
          <w:rFonts w:eastAsia="Calibri"/>
          <w:lang w:eastAsia="en-US"/>
        </w:rPr>
        <w:t xml:space="preserve">za </w:t>
      </w:r>
      <w:r w:rsidR="00A167AA" w:rsidRPr="00552FD9">
        <w:rPr>
          <w:rFonts w:eastAsia="Calibri"/>
          <w:lang w:eastAsia="en-US"/>
        </w:rPr>
        <w:t>sporządzenie informacji do ogłoszenia.</w:t>
      </w:r>
    </w:p>
    <w:p w14:paraId="6650AF75" w14:textId="6B114172" w:rsidR="008843E6" w:rsidRPr="00552FD9" w:rsidRDefault="008843E6" w:rsidP="00CE0916">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rPr>
          <w:rFonts w:eastAsia="Calibri"/>
          <w:lang w:eastAsia="en-US"/>
        </w:rPr>
        <w:t xml:space="preserve">Marketing i </w:t>
      </w:r>
      <w:r w:rsidR="00B87C1A">
        <w:rPr>
          <w:rFonts w:eastAsia="Calibri"/>
          <w:lang w:eastAsia="en-US"/>
        </w:rPr>
        <w:t>k</w:t>
      </w:r>
      <w:r w:rsidRPr="00552FD9">
        <w:rPr>
          <w:rFonts w:eastAsia="Calibri"/>
          <w:lang w:eastAsia="en-US"/>
        </w:rPr>
        <w:t>omunikacj</w:t>
      </w:r>
      <w:r w:rsidR="00193DAE">
        <w:rPr>
          <w:rFonts w:eastAsia="Calibri"/>
          <w:lang w:eastAsia="en-US"/>
        </w:rPr>
        <w:t>a</w:t>
      </w:r>
      <w:r w:rsidRPr="00552FD9">
        <w:rPr>
          <w:rFonts w:eastAsia="Calibri"/>
          <w:lang w:eastAsia="en-US"/>
        </w:rPr>
        <w:t xml:space="preserve"> odpowiada za ogłaszanie informacji. </w:t>
      </w:r>
    </w:p>
    <w:p w14:paraId="406813FD" w14:textId="3C0A814D" w:rsidR="003B6695" w:rsidRPr="00552FD9" w:rsidRDefault="00A167AA" w:rsidP="00CE0916">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rPr>
          <w:rFonts w:eastAsia="Calibri"/>
          <w:lang w:eastAsia="en-US"/>
        </w:rPr>
        <w:t>Każdy pracownik</w:t>
      </w:r>
      <w:r w:rsidR="00AA689B" w:rsidRPr="00552FD9">
        <w:rPr>
          <w:rFonts w:eastAsia="Calibri"/>
          <w:lang w:eastAsia="en-US"/>
        </w:rPr>
        <w:t xml:space="preserve"> Banku</w:t>
      </w:r>
      <w:r w:rsidRPr="00552FD9">
        <w:rPr>
          <w:rFonts w:eastAsia="Calibri"/>
          <w:lang w:eastAsia="en-US"/>
        </w:rPr>
        <w:t xml:space="preserve">, który </w:t>
      </w:r>
      <w:r w:rsidR="00E51348" w:rsidRPr="00552FD9">
        <w:rPr>
          <w:rFonts w:eastAsia="Calibri"/>
          <w:lang w:eastAsia="en-US"/>
        </w:rPr>
        <w:t xml:space="preserve">dostrzeże </w:t>
      </w:r>
      <w:bookmarkStart w:id="21" w:name="_Hlk69882862"/>
      <w:r w:rsidR="00E51348" w:rsidRPr="00552FD9">
        <w:rPr>
          <w:rFonts w:eastAsia="Calibri"/>
          <w:lang w:eastAsia="en-US"/>
        </w:rPr>
        <w:t xml:space="preserve">naruszenie niniejszej Polityki Ujawniania </w:t>
      </w:r>
      <w:r w:rsidR="00686835" w:rsidRPr="00552FD9">
        <w:rPr>
          <w:rFonts w:eastAsia="Calibri"/>
          <w:lang w:eastAsia="en-US"/>
        </w:rPr>
        <w:br/>
      </w:r>
      <w:r w:rsidR="00E51348" w:rsidRPr="00552FD9">
        <w:rPr>
          <w:rFonts w:eastAsia="Calibri"/>
          <w:lang w:eastAsia="en-US"/>
        </w:rPr>
        <w:t xml:space="preserve">i procesów nią regulowanych albo działania lub zaniechania odbiegające od przyjętego </w:t>
      </w:r>
      <w:r w:rsidR="00686835" w:rsidRPr="00552FD9">
        <w:rPr>
          <w:rFonts w:eastAsia="Calibri"/>
          <w:lang w:eastAsia="en-US"/>
        </w:rPr>
        <w:br/>
      </w:r>
      <w:r w:rsidR="00E51348" w:rsidRPr="00552FD9">
        <w:rPr>
          <w:rFonts w:eastAsia="Calibri"/>
          <w:lang w:eastAsia="en-US"/>
        </w:rPr>
        <w:t xml:space="preserve">w Banku standardu </w:t>
      </w:r>
      <w:r w:rsidR="00566664" w:rsidRPr="00552FD9">
        <w:rPr>
          <w:rFonts w:eastAsia="Calibri"/>
          <w:lang w:eastAsia="en-US"/>
        </w:rPr>
        <w:t>postępowania</w:t>
      </w:r>
      <w:bookmarkEnd w:id="21"/>
      <w:r w:rsidR="00566664" w:rsidRPr="00552FD9">
        <w:rPr>
          <w:rFonts w:eastAsia="Calibri"/>
          <w:lang w:eastAsia="en-US"/>
        </w:rPr>
        <w:t xml:space="preserve"> </w:t>
      </w:r>
      <w:r w:rsidR="00E51348" w:rsidRPr="00552FD9">
        <w:rPr>
          <w:rFonts w:eastAsia="Calibri"/>
          <w:lang w:eastAsia="en-US"/>
        </w:rPr>
        <w:t xml:space="preserve">- </w:t>
      </w:r>
      <w:r w:rsidRPr="00552FD9">
        <w:rPr>
          <w:rFonts w:eastAsia="Calibri"/>
          <w:lang w:eastAsia="en-US"/>
        </w:rPr>
        <w:t>zobowiązany jest zgłosić to swojemu przełożonemu</w:t>
      </w:r>
      <w:r w:rsidR="000E2B83" w:rsidRPr="00552FD9">
        <w:rPr>
          <w:rFonts w:eastAsia="Calibri"/>
          <w:lang w:eastAsia="en-US"/>
        </w:rPr>
        <w:t>, Ryzyk</w:t>
      </w:r>
      <w:r w:rsidR="00B87C1A">
        <w:rPr>
          <w:rFonts w:eastAsia="Calibri"/>
          <w:lang w:eastAsia="en-US"/>
        </w:rPr>
        <w:t>u</w:t>
      </w:r>
      <w:r w:rsidR="000E2B83" w:rsidRPr="00552FD9">
        <w:rPr>
          <w:rFonts w:eastAsia="Calibri"/>
          <w:lang w:eastAsia="en-US"/>
        </w:rPr>
        <w:t xml:space="preserve"> </w:t>
      </w:r>
      <w:r w:rsidR="00B87C1A">
        <w:rPr>
          <w:rFonts w:eastAsia="Calibri"/>
          <w:lang w:eastAsia="en-US"/>
        </w:rPr>
        <w:t>b</w:t>
      </w:r>
      <w:r w:rsidR="000E2B83" w:rsidRPr="00552FD9">
        <w:rPr>
          <w:rFonts w:eastAsia="Calibri"/>
          <w:lang w:eastAsia="en-US"/>
        </w:rPr>
        <w:t>ankowe</w:t>
      </w:r>
      <w:r w:rsidR="00B87C1A">
        <w:rPr>
          <w:rFonts w:eastAsia="Calibri"/>
          <w:lang w:eastAsia="en-US"/>
        </w:rPr>
        <w:t>mu</w:t>
      </w:r>
      <w:r w:rsidR="0079598B" w:rsidRPr="00552FD9">
        <w:rPr>
          <w:rFonts w:eastAsia="Calibri"/>
          <w:lang w:eastAsia="en-US"/>
        </w:rPr>
        <w:t xml:space="preserve"> oraz </w:t>
      </w:r>
      <w:r w:rsidR="007F6E6A" w:rsidRPr="00552FD9">
        <w:rPr>
          <w:rFonts w:eastAsia="Calibri"/>
          <w:lang w:eastAsia="en-US"/>
        </w:rPr>
        <w:t xml:space="preserve"> Zapewnieni</w:t>
      </w:r>
      <w:r w:rsidR="00B87C1A">
        <w:rPr>
          <w:rFonts w:eastAsia="Calibri"/>
          <w:lang w:eastAsia="en-US"/>
        </w:rPr>
        <w:t>u</w:t>
      </w:r>
      <w:r w:rsidR="007F6E6A" w:rsidRPr="00552FD9">
        <w:rPr>
          <w:rFonts w:eastAsia="Calibri"/>
          <w:lang w:eastAsia="en-US"/>
        </w:rPr>
        <w:t xml:space="preserve"> </w:t>
      </w:r>
      <w:r w:rsidR="00B87C1A">
        <w:rPr>
          <w:rFonts w:eastAsia="Calibri"/>
          <w:lang w:eastAsia="en-US"/>
        </w:rPr>
        <w:t>z</w:t>
      </w:r>
      <w:r w:rsidR="007F6E6A" w:rsidRPr="00552FD9">
        <w:rPr>
          <w:rFonts w:eastAsia="Calibri"/>
          <w:lang w:eastAsia="en-US"/>
        </w:rPr>
        <w:t>godności</w:t>
      </w:r>
      <w:r w:rsidRPr="00552FD9">
        <w:rPr>
          <w:rFonts w:eastAsia="Calibri"/>
          <w:lang w:eastAsia="en-US"/>
        </w:rPr>
        <w:t>.</w:t>
      </w:r>
    </w:p>
    <w:p w14:paraId="73D3ADBE" w14:textId="69CA925D" w:rsidR="0079598B" w:rsidRPr="00552FD9" w:rsidRDefault="0079598B" w:rsidP="00CE0916">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rPr>
          <w:rFonts w:eastAsia="Calibri"/>
          <w:lang w:eastAsia="en-US"/>
        </w:rPr>
        <w:t>Każdy pracownik Banku odpowiedzialny za realizację Polityki Ujawniania, który dostrzeże, że ujawniane informacje nie zapewniają, że uczestnicy rynku otrzymują kompleksowy obraz profilu ryzyka Banku oraz że ujawniane informacje nie są adekwatne, prawidłowe i zgodne ze sprawozdaniem finansowym – zobowiązany jest zgłosić to swojemu przełożonemu</w:t>
      </w:r>
      <w:r w:rsidR="001544FF" w:rsidRPr="00552FD9">
        <w:rPr>
          <w:rFonts w:eastAsia="Calibri"/>
          <w:lang w:eastAsia="en-US"/>
        </w:rPr>
        <w:t>,  Ryzyk</w:t>
      </w:r>
      <w:r w:rsidR="0007183E">
        <w:rPr>
          <w:rFonts w:eastAsia="Calibri"/>
          <w:lang w:eastAsia="en-US"/>
        </w:rPr>
        <w:t>u</w:t>
      </w:r>
      <w:r w:rsidR="001544FF" w:rsidRPr="00552FD9">
        <w:rPr>
          <w:rFonts w:eastAsia="Calibri"/>
          <w:lang w:eastAsia="en-US"/>
        </w:rPr>
        <w:t xml:space="preserve"> </w:t>
      </w:r>
      <w:r w:rsidR="0007183E">
        <w:rPr>
          <w:rFonts w:eastAsia="Calibri"/>
          <w:lang w:eastAsia="en-US"/>
        </w:rPr>
        <w:t>b</w:t>
      </w:r>
      <w:r w:rsidR="001544FF" w:rsidRPr="00552FD9">
        <w:rPr>
          <w:rFonts w:eastAsia="Calibri"/>
          <w:lang w:eastAsia="en-US"/>
        </w:rPr>
        <w:t>ankowe</w:t>
      </w:r>
      <w:r w:rsidR="0007183E">
        <w:rPr>
          <w:rFonts w:eastAsia="Calibri"/>
          <w:lang w:eastAsia="en-US"/>
        </w:rPr>
        <w:t>mu</w:t>
      </w:r>
      <w:r w:rsidRPr="00552FD9">
        <w:rPr>
          <w:rFonts w:eastAsia="Calibri"/>
          <w:lang w:eastAsia="en-US"/>
        </w:rPr>
        <w:t xml:space="preserve"> oraz </w:t>
      </w:r>
      <w:r w:rsidR="00E72A6A" w:rsidRPr="00552FD9">
        <w:rPr>
          <w:rFonts w:eastAsia="Calibri"/>
          <w:lang w:eastAsia="en-US"/>
        </w:rPr>
        <w:t>Rachunkowo</w:t>
      </w:r>
      <w:r w:rsidR="0007183E">
        <w:rPr>
          <w:rFonts w:eastAsia="Calibri"/>
          <w:lang w:eastAsia="en-US"/>
        </w:rPr>
        <w:t>ści i s</w:t>
      </w:r>
      <w:r w:rsidR="00E72A6A" w:rsidRPr="00552FD9">
        <w:rPr>
          <w:rFonts w:eastAsia="Calibri"/>
          <w:lang w:eastAsia="en-US"/>
        </w:rPr>
        <w:t>prawozdawcz</w:t>
      </w:r>
      <w:r w:rsidR="0007183E">
        <w:rPr>
          <w:rFonts w:eastAsia="Calibri"/>
          <w:lang w:eastAsia="en-US"/>
        </w:rPr>
        <w:t>ości</w:t>
      </w:r>
      <w:r w:rsidRPr="00552FD9">
        <w:rPr>
          <w:rFonts w:eastAsia="Calibri"/>
          <w:lang w:eastAsia="en-US"/>
        </w:rPr>
        <w:t xml:space="preserve">. </w:t>
      </w:r>
    </w:p>
    <w:p w14:paraId="1ABD5440" w14:textId="57CE52B3" w:rsidR="00F56AF5" w:rsidRPr="00552FD9" w:rsidRDefault="00326818" w:rsidP="007731AD">
      <w:pPr>
        <w:pStyle w:val="Akapitzlist"/>
        <w:numPr>
          <w:ilvl w:val="0"/>
          <w:numId w:val="6"/>
        </w:numPr>
        <w:autoSpaceDE w:val="0"/>
        <w:autoSpaceDN w:val="0"/>
        <w:adjustRightInd w:val="0"/>
        <w:spacing w:line="360" w:lineRule="auto"/>
        <w:ind w:left="357" w:hanging="357"/>
        <w:jc w:val="both"/>
        <w:rPr>
          <w:rFonts w:eastAsia="Calibri"/>
          <w:lang w:eastAsia="en-US"/>
        </w:rPr>
      </w:pPr>
      <w:r w:rsidRPr="00552FD9">
        <w:rPr>
          <w:rFonts w:eastAsia="Calibri"/>
          <w:lang w:eastAsia="en-US"/>
        </w:rPr>
        <w:lastRenderedPageBreak/>
        <w:t>W celu ujednolicenia formatu efektów prac poszczególnych komórek organizacyjnych Banku oraz dla zapewnienia spójnego i zgodnego z obowiązującymi standardami podejścia do sposobu prezentowania treści ujawnianych informacji</w:t>
      </w:r>
      <w:r w:rsidR="00A70E4F">
        <w:rPr>
          <w:rFonts w:eastAsia="Calibri"/>
          <w:lang w:eastAsia="en-US"/>
        </w:rPr>
        <w:t>,</w:t>
      </w:r>
      <w:r w:rsidRPr="00552FD9">
        <w:rPr>
          <w:rFonts w:eastAsia="Calibri"/>
          <w:lang w:eastAsia="en-US"/>
        </w:rPr>
        <w:t xml:space="preserve"> tworzy się</w:t>
      </w:r>
      <w:r w:rsidR="00F56AF5" w:rsidRPr="00552FD9">
        <w:rPr>
          <w:rFonts w:eastAsia="Calibri"/>
          <w:lang w:eastAsia="en-US"/>
        </w:rPr>
        <w:t>:</w:t>
      </w:r>
      <w:r w:rsidRPr="00552FD9">
        <w:rPr>
          <w:rFonts w:eastAsia="Calibri"/>
          <w:lang w:eastAsia="en-US"/>
        </w:rPr>
        <w:t xml:space="preserve"> </w:t>
      </w:r>
    </w:p>
    <w:p w14:paraId="6C55E966" w14:textId="77777777" w:rsidR="00070B3D" w:rsidRPr="00552FD9" w:rsidRDefault="00326818" w:rsidP="00070B3D">
      <w:pPr>
        <w:pStyle w:val="Akapitzlist"/>
        <w:numPr>
          <w:ilvl w:val="0"/>
          <w:numId w:val="28"/>
        </w:numPr>
        <w:autoSpaceDE w:val="0"/>
        <w:autoSpaceDN w:val="0"/>
        <w:adjustRightInd w:val="0"/>
        <w:spacing w:line="360" w:lineRule="auto"/>
        <w:jc w:val="both"/>
        <w:rPr>
          <w:rFonts w:eastAsia="Calibri"/>
          <w:lang w:eastAsia="en-US"/>
        </w:rPr>
      </w:pPr>
      <w:r w:rsidRPr="00552FD9">
        <w:rPr>
          <w:rFonts w:eastAsia="Calibri"/>
          <w:lang w:eastAsia="en-US"/>
        </w:rPr>
        <w:t>Zasady sporządzania raportu nt. ujawnień SGB-Bank S.A.</w:t>
      </w:r>
      <w:r w:rsidR="00F477A9" w:rsidRPr="00552FD9">
        <w:rPr>
          <w:rFonts w:eastAsia="Calibri"/>
          <w:lang w:eastAsia="en-US"/>
        </w:rPr>
        <w:t xml:space="preserve"> stanowiące Załącznik</w:t>
      </w:r>
      <w:r w:rsidR="00F56AF5" w:rsidRPr="00552FD9">
        <w:rPr>
          <w:rFonts w:eastAsia="Calibri"/>
          <w:lang w:eastAsia="en-US"/>
        </w:rPr>
        <w:t xml:space="preserve"> nr 1</w:t>
      </w:r>
      <w:r w:rsidR="00F477A9" w:rsidRPr="00552FD9">
        <w:rPr>
          <w:rFonts w:eastAsia="Calibri"/>
          <w:lang w:eastAsia="en-US"/>
        </w:rPr>
        <w:t xml:space="preserve"> do niniejszej Polityki Ujawniania</w:t>
      </w:r>
      <w:r w:rsidR="00F56AF5" w:rsidRPr="00552FD9">
        <w:rPr>
          <w:rFonts w:eastAsia="Calibri"/>
          <w:lang w:eastAsia="en-US"/>
        </w:rPr>
        <w:t>,</w:t>
      </w:r>
    </w:p>
    <w:p w14:paraId="36E7D934" w14:textId="77777777" w:rsidR="00326818" w:rsidRPr="00552FD9" w:rsidRDefault="00F56AF5" w:rsidP="00070B3D">
      <w:pPr>
        <w:pStyle w:val="Akapitzlist"/>
        <w:numPr>
          <w:ilvl w:val="0"/>
          <w:numId w:val="28"/>
        </w:numPr>
        <w:autoSpaceDE w:val="0"/>
        <w:autoSpaceDN w:val="0"/>
        <w:adjustRightInd w:val="0"/>
        <w:spacing w:line="360" w:lineRule="auto"/>
        <w:jc w:val="both"/>
        <w:rPr>
          <w:rFonts w:eastAsia="Calibri"/>
          <w:lang w:eastAsia="en-US"/>
        </w:rPr>
      </w:pPr>
      <w:r w:rsidRPr="00552FD9">
        <w:rPr>
          <w:rFonts w:eastAsia="Calibri"/>
          <w:lang w:eastAsia="en-US"/>
        </w:rPr>
        <w:t>Powi</w:t>
      </w:r>
      <w:r w:rsidR="00070B3D" w:rsidRPr="00552FD9">
        <w:rPr>
          <w:rFonts w:eastAsia="Calibri"/>
          <w:lang w:eastAsia="en-US"/>
        </w:rPr>
        <w:t>ą</w:t>
      </w:r>
      <w:r w:rsidRPr="00552FD9">
        <w:rPr>
          <w:rFonts w:eastAsia="Calibri"/>
          <w:lang w:eastAsia="en-US"/>
        </w:rPr>
        <w:t>zanie kategorii informacji ujawnianej na mocy części ósmej CRR z treścią rozporządzenia wykonawczego nr 2021/637</w:t>
      </w:r>
      <w:r w:rsidR="007731AD" w:rsidRPr="00552FD9">
        <w:rPr>
          <w:rStyle w:val="Odwoanieprzypisudolnego"/>
          <w:rFonts w:eastAsia="Calibri"/>
          <w:lang w:eastAsia="en-US"/>
        </w:rPr>
        <w:footnoteReference w:id="1"/>
      </w:r>
      <w:r w:rsidRPr="00552FD9">
        <w:rPr>
          <w:rFonts w:eastAsia="Calibri"/>
          <w:lang w:eastAsia="en-US"/>
        </w:rPr>
        <w:t xml:space="preserve"> stanowiące Załącznik nr 2 do niniejszej Polityki Ujawniania.</w:t>
      </w:r>
    </w:p>
    <w:p w14:paraId="77847023" w14:textId="77777777" w:rsidR="0065757A" w:rsidRPr="00552FD9" w:rsidRDefault="0065757A" w:rsidP="0065757A">
      <w:pPr>
        <w:pStyle w:val="Akapitzlist"/>
        <w:autoSpaceDE w:val="0"/>
        <w:autoSpaceDN w:val="0"/>
        <w:adjustRightInd w:val="0"/>
        <w:spacing w:line="360" w:lineRule="auto"/>
        <w:ind w:left="1069"/>
        <w:jc w:val="both"/>
        <w:rPr>
          <w:rFonts w:eastAsia="Calibri"/>
          <w:lang w:eastAsia="en-US"/>
        </w:rPr>
      </w:pPr>
    </w:p>
    <w:p w14:paraId="2ECEDD29" w14:textId="77777777" w:rsidR="00A55435" w:rsidRPr="00552FD9" w:rsidRDefault="00A55435" w:rsidP="00CE0916">
      <w:pPr>
        <w:spacing w:line="360" w:lineRule="auto"/>
        <w:jc w:val="center"/>
        <w:rPr>
          <w:b/>
          <w:bCs/>
        </w:rPr>
      </w:pPr>
      <w:r w:rsidRPr="00552FD9">
        <w:rPr>
          <w:b/>
          <w:bCs/>
        </w:rPr>
        <w:t>§ 1</w:t>
      </w:r>
      <w:r w:rsidR="00535F95" w:rsidRPr="00552FD9">
        <w:rPr>
          <w:b/>
          <w:bCs/>
        </w:rPr>
        <w:t>1</w:t>
      </w:r>
    </w:p>
    <w:p w14:paraId="51073DD8" w14:textId="25B8995D" w:rsidR="00966EAD" w:rsidRPr="00552FD9" w:rsidRDefault="002F0096" w:rsidP="003830CA">
      <w:pPr>
        <w:pStyle w:val="Nagwek2"/>
        <w:spacing w:after="360"/>
      </w:pPr>
      <w:bookmarkStart w:id="22" w:name="_Toc71277926"/>
      <w:r w:rsidRPr="00552FD9">
        <w:t>Spółdzielcz</w:t>
      </w:r>
      <w:r w:rsidR="00A70E4F">
        <w:t>y</w:t>
      </w:r>
      <w:r w:rsidRPr="00552FD9">
        <w:t xml:space="preserve"> System Ochrony</w:t>
      </w:r>
      <w:bookmarkEnd w:id="22"/>
    </w:p>
    <w:p w14:paraId="1DDC5A0B" w14:textId="1FFFC553" w:rsidR="000E04F5" w:rsidRPr="00552FD9" w:rsidRDefault="000E04F5" w:rsidP="000E04F5">
      <w:pPr>
        <w:autoSpaceDE w:val="0"/>
        <w:autoSpaceDN w:val="0"/>
        <w:adjustRightInd w:val="0"/>
        <w:spacing w:line="360" w:lineRule="auto"/>
        <w:jc w:val="both"/>
      </w:pPr>
      <w:r w:rsidRPr="00552FD9">
        <w:t>Spółdzielczy System Ochrony</w:t>
      </w:r>
      <w:r w:rsidR="005E70BF" w:rsidRPr="00552FD9">
        <w:t>,</w:t>
      </w:r>
      <w:r w:rsidRPr="00552FD9">
        <w:t xml:space="preserve"> sprawujący </w:t>
      </w:r>
      <w:r w:rsidR="00AB1EC2" w:rsidRPr="00552FD9">
        <w:t xml:space="preserve">w Banku </w:t>
      </w:r>
      <w:r w:rsidRPr="00552FD9">
        <w:t>funkcję audytu wewnętrznego</w:t>
      </w:r>
      <w:r w:rsidR="005F50BD" w:rsidRPr="00552FD9">
        <w:t>,</w:t>
      </w:r>
      <w:r w:rsidRPr="00552FD9">
        <w:t xml:space="preserve"> stanowiącego trzecią linię obrony</w:t>
      </w:r>
      <w:r w:rsidR="005E70BF" w:rsidRPr="00552FD9">
        <w:t>, uczestniczy w badaniu procesu ujawniania informacji na</w:t>
      </w:r>
      <w:r w:rsidR="007655D5" w:rsidRPr="00552FD9">
        <w:t> </w:t>
      </w:r>
      <w:r w:rsidR="005E70BF" w:rsidRPr="00552FD9">
        <w:t>zasadach określonych w Umowie Systemu Ochrony SGB</w:t>
      </w:r>
      <w:r w:rsidR="001F5BEF" w:rsidRPr="00552FD9">
        <w:t>.</w:t>
      </w:r>
      <w:r w:rsidRPr="00552FD9">
        <w:t xml:space="preserve"> </w:t>
      </w:r>
    </w:p>
    <w:sectPr w:rsidR="000E04F5" w:rsidRPr="00552FD9" w:rsidSect="008A2868">
      <w:footerReference w:type="default" r:id="rId9"/>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38BF15" w16cex:dateUtc="2025-03-18T10:44:00Z"/>
  <w16cex:commentExtensible w16cex:durableId="445C4B06" w16cex:dateUtc="2025-03-14T15:58:00Z"/>
  <w16cex:commentExtensible w16cex:durableId="107577E5" w16cex:dateUtc="2025-03-14T16:00:00Z"/>
  <w16cex:commentExtensible w16cex:durableId="52CBE5BE" w16cex:dateUtc="2025-03-14T16:07:00Z"/>
  <w16cex:commentExtensible w16cex:durableId="2BC5238C" w16cex:dateUtc="2025-03-14T16:07:00Z"/>
  <w16cex:commentExtensible w16cex:durableId="766B677F" w16cex:dateUtc="2025-03-14T16:10:00Z"/>
  <w16cex:commentExtensible w16cex:durableId="50744720" w16cex:dateUtc="2025-03-14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00ACA0" w16cid:durableId="0B38BF15"/>
  <w16cid:commentId w16cid:paraId="6785FC62" w16cid:durableId="445C4B06"/>
  <w16cid:commentId w16cid:paraId="2C5B2663" w16cid:durableId="107577E5"/>
  <w16cid:commentId w16cid:paraId="4502A364" w16cid:durableId="52CBE5BE"/>
  <w16cid:commentId w16cid:paraId="795F647D" w16cid:durableId="2BC5238C"/>
  <w16cid:commentId w16cid:paraId="16148821" w16cid:durableId="766B677F"/>
  <w16cid:commentId w16cid:paraId="2328B11A" w16cid:durableId="507447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E965" w14:textId="77777777" w:rsidR="007C40B8" w:rsidRDefault="007C40B8" w:rsidP="00235F8D">
      <w:r>
        <w:separator/>
      </w:r>
    </w:p>
  </w:endnote>
  <w:endnote w:type="continuationSeparator" w:id="0">
    <w:p w14:paraId="53A7FEC4" w14:textId="77777777" w:rsidR="007C40B8" w:rsidRDefault="007C40B8" w:rsidP="0023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5CD5" w14:textId="3A6A0FE6" w:rsidR="007C40B8" w:rsidRDefault="007C40B8" w:rsidP="0073466A">
    <w:pPr>
      <w:pStyle w:val="Stopka"/>
      <w:jc w:val="center"/>
    </w:pPr>
    <w:r w:rsidRPr="00B97F81">
      <w:rPr>
        <w:sz w:val="20"/>
      </w:rPr>
      <w:fldChar w:fldCharType="begin"/>
    </w:r>
    <w:r w:rsidRPr="00B97F81">
      <w:rPr>
        <w:sz w:val="20"/>
      </w:rPr>
      <w:instrText xml:space="preserve"> PAGE   \* MERGEFORMAT </w:instrText>
    </w:r>
    <w:r w:rsidRPr="00B97F81">
      <w:rPr>
        <w:sz w:val="20"/>
      </w:rPr>
      <w:fldChar w:fldCharType="separate"/>
    </w:r>
    <w:r w:rsidR="00AD690D">
      <w:rPr>
        <w:noProof/>
        <w:sz w:val="20"/>
      </w:rPr>
      <w:t>1</w:t>
    </w:r>
    <w:r w:rsidRPr="00B97F8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D939" w14:textId="77777777" w:rsidR="007C40B8" w:rsidRDefault="007C40B8" w:rsidP="00235F8D">
      <w:r>
        <w:separator/>
      </w:r>
    </w:p>
  </w:footnote>
  <w:footnote w:type="continuationSeparator" w:id="0">
    <w:p w14:paraId="680E81B8" w14:textId="77777777" w:rsidR="007C40B8" w:rsidRDefault="007C40B8" w:rsidP="00235F8D">
      <w:r>
        <w:continuationSeparator/>
      </w:r>
    </w:p>
  </w:footnote>
  <w:footnote w:id="1">
    <w:p w14:paraId="7502E94D" w14:textId="77777777" w:rsidR="007C40B8" w:rsidRPr="00070B3D" w:rsidRDefault="007C40B8" w:rsidP="007731AD">
      <w:pPr>
        <w:pStyle w:val="Tekstprzypisudolnego"/>
        <w:jc w:val="both"/>
        <w:rPr>
          <w:lang w:val="pl-PL"/>
        </w:rPr>
      </w:pPr>
      <w:r>
        <w:rPr>
          <w:rStyle w:val="Odwoanieprzypisudolnego"/>
        </w:rPr>
        <w:footnoteRef/>
      </w:r>
      <w:r>
        <w:t xml:space="preserve"> </w:t>
      </w:r>
      <w:r>
        <w:rPr>
          <w:lang w:val="pl-PL"/>
        </w:rPr>
        <w:t xml:space="preserve">Rozporządzenie </w:t>
      </w:r>
      <w:r w:rsidRPr="007731AD">
        <w:t xml:space="preserve">wykonawcze Komisji (UE) 2021/637 z dnia 15 marca 2021 r. ustanawiające wykonawcze standardy techniczne w odniesieniu do publicznego ujawniania przez instytucje informacji, o których mowa </w:t>
      </w:r>
      <w:r>
        <w:br/>
      </w:r>
      <w:r w:rsidRPr="007731AD">
        <w:t>w części ósmej tytuły II i III rozporządzenia Parlamentu Europejskiego i Rady (UE) nr 575/2013, oraz uchylające rozporządzenie wykonawcze Komisji (UE) nr 1423/2013, rozporządzenie delegowane Komisji (UE) 2015/1555, rozporządzenie wykonawcze Komisji (UE) 2016/200 i rozporządzenie delegowane Komisji (UE) 2017/2295 (Dz.U. UE L 136 z 21.4.2021, s. 1</w:t>
      </w:r>
      <w:r>
        <w:rPr>
          <w:lang w:val="pl-PL"/>
        </w:rPr>
        <w:t>-</w:t>
      </w:r>
      <w:r w:rsidRPr="007731AD">
        <w:t>327)</w:t>
      </w:r>
      <w:r>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5340368C"/>
    <w:name w:val="WW8Num562"/>
    <w:lvl w:ilvl="0">
      <w:start w:val="1"/>
      <w:numFmt w:val="decimal"/>
      <w:lvlText w:val="%1)"/>
      <w:lvlJc w:val="left"/>
      <w:pPr>
        <w:tabs>
          <w:tab w:val="num" w:pos="750"/>
        </w:tabs>
        <w:ind w:left="750" w:hanging="390"/>
      </w:pPr>
      <w:rPr>
        <w:rFonts w:hint="default"/>
      </w:rPr>
    </w:lvl>
  </w:abstractNum>
  <w:abstractNum w:abstractNumId="1" w15:restartNumberingAfterBreak="0">
    <w:nsid w:val="07E623DC"/>
    <w:multiLevelType w:val="hybridMultilevel"/>
    <w:tmpl w:val="BF2203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0256CF"/>
    <w:multiLevelType w:val="hybridMultilevel"/>
    <w:tmpl w:val="06A099F8"/>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83502B5"/>
    <w:multiLevelType w:val="hybridMultilevel"/>
    <w:tmpl w:val="1F30FA2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94C4BCE"/>
    <w:multiLevelType w:val="hybridMultilevel"/>
    <w:tmpl w:val="8F18F17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5416A1"/>
    <w:multiLevelType w:val="hybridMultilevel"/>
    <w:tmpl w:val="C99E2A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E03F17"/>
    <w:multiLevelType w:val="hybridMultilevel"/>
    <w:tmpl w:val="2B269BD0"/>
    <w:name w:val="WW8Num119222222222222222234"/>
    <w:lvl w:ilvl="0" w:tplc="0C8252F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9575B7"/>
    <w:multiLevelType w:val="hybridMultilevel"/>
    <w:tmpl w:val="6AEE8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522E9"/>
    <w:multiLevelType w:val="hybridMultilevel"/>
    <w:tmpl w:val="1DCEEB80"/>
    <w:lvl w:ilvl="0" w:tplc="8020ED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476B9"/>
    <w:multiLevelType w:val="hybridMultilevel"/>
    <w:tmpl w:val="E40C2D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CE375B3"/>
    <w:multiLevelType w:val="hybridMultilevel"/>
    <w:tmpl w:val="6DE20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42983"/>
    <w:multiLevelType w:val="hybridMultilevel"/>
    <w:tmpl w:val="6140511A"/>
    <w:name w:val="WW8Num119222222"/>
    <w:lvl w:ilvl="0" w:tplc="20E439AE">
      <w:start w:val="1"/>
      <w:numFmt w:val="decimal"/>
      <w:lvlText w:val="%1)"/>
      <w:lvlJc w:val="left"/>
      <w:pPr>
        <w:tabs>
          <w:tab w:val="num" w:pos="360"/>
        </w:tabs>
        <w:ind w:left="36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A16CA"/>
    <w:multiLevelType w:val="singleLevel"/>
    <w:tmpl w:val="245E76F6"/>
    <w:lvl w:ilvl="0">
      <w:start w:val="1"/>
      <w:numFmt w:val="decimal"/>
      <w:lvlText w:val="%1."/>
      <w:lvlJc w:val="left"/>
      <w:pPr>
        <w:tabs>
          <w:tab w:val="num" w:pos="360"/>
        </w:tabs>
        <w:ind w:left="360" w:hanging="360"/>
      </w:pPr>
    </w:lvl>
  </w:abstractNum>
  <w:abstractNum w:abstractNumId="13" w15:restartNumberingAfterBreak="0">
    <w:nsid w:val="241B4CA7"/>
    <w:multiLevelType w:val="hybridMultilevel"/>
    <w:tmpl w:val="7D604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3577B"/>
    <w:multiLevelType w:val="singleLevel"/>
    <w:tmpl w:val="F5E4CFA0"/>
    <w:name w:val="WW8Num11922222"/>
    <w:lvl w:ilvl="0">
      <w:start w:val="1"/>
      <w:numFmt w:val="decimal"/>
      <w:lvlText w:val="%1)"/>
      <w:lvlJc w:val="left"/>
      <w:pPr>
        <w:tabs>
          <w:tab w:val="num" w:pos="360"/>
        </w:tabs>
        <w:ind w:left="360" w:hanging="360"/>
      </w:pPr>
      <w:rPr>
        <w:sz w:val="24"/>
      </w:rPr>
    </w:lvl>
  </w:abstractNum>
  <w:abstractNum w:abstractNumId="15" w15:restartNumberingAfterBreak="0">
    <w:nsid w:val="29137230"/>
    <w:multiLevelType w:val="hybridMultilevel"/>
    <w:tmpl w:val="D22A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84127"/>
    <w:multiLevelType w:val="hybridMultilevel"/>
    <w:tmpl w:val="1DCEEB80"/>
    <w:lvl w:ilvl="0" w:tplc="8020ED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3E4380"/>
    <w:multiLevelType w:val="hybridMultilevel"/>
    <w:tmpl w:val="7E8C26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24D72E2"/>
    <w:multiLevelType w:val="hybridMultilevel"/>
    <w:tmpl w:val="DACC7F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3F6175D"/>
    <w:multiLevelType w:val="hybridMultilevel"/>
    <w:tmpl w:val="31E8F47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5AA776A"/>
    <w:multiLevelType w:val="hybridMultilevel"/>
    <w:tmpl w:val="DA5C9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6C4DD8"/>
    <w:multiLevelType w:val="hybridMultilevel"/>
    <w:tmpl w:val="2BAA6A88"/>
    <w:lvl w:ilvl="0" w:tplc="0415000F">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2" w15:restartNumberingAfterBreak="0">
    <w:nsid w:val="432E0C34"/>
    <w:multiLevelType w:val="multilevel"/>
    <w:tmpl w:val="06C65164"/>
    <w:lvl w:ilvl="0">
      <w:start w:val="1"/>
      <w:numFmt w:val="decimal"/>
      <w:suff w:val="space"/>
      <w:lvlText w:val="§ %1"/>
      <w:lvlJc w:val="center"/>
      <w:pPr>
        <w:ind w:left="567" w:hanging="567"/>
      </w:pPr>
      <w:rPr>
        <w:rFonts w:ascii="Times New Roman" w:hAnsi="Times New Roman" w:hint="default"/>
        <w:b w:val="0"/>
        <w:i w:val="0"/>
        <w:sz w:val="24"/>
      </w:rPr>
    </w:lvl>
    <w:lvl w:ilvl="1">
      <w:start w:val="8"/>
      <w:numFmt w:val="decimal"/>
      <w:lvlText w:val="%2)"/>
      <w:lvlJc w:val="left"/>
      <w:pPr>
        <w:tabs>
          <w:tab w:val="num" w:pos="360"/>
        </w:tabs>
        <w:ind w:left="360" w:hanging="360"/>
      </w:pPr>
      <w:rPr>
        <w:rFonts w:hint="default"/>
      </w:rPr>
    </w:lvl>
    <w:lvl w:ilvl="2">
      <w:start w:val="1"/>
      <w:numFmt w:val="decimal"/>
      <w:pStyle w:val="Tekstkomentarza"/>
      <w:lvlText w:val="%3."/>
      <w:lvlJc w:val="left"/>
      <w:pPr>
        <w:tabs>
          <w:tab w:val="num" w:pos="1134"/>
        </w:tabs>
        <w:ind w:left="1134" w:hanging="567"/>
      </w:pPr>
      <w:rPr>
        <w:rFonts w:cs="Times New Roman" w:hint="default"/>
        <w:b w:val="0"/>
        <w:i w:val="0"/>
        <w:sz w:val="24"/>
      </w:rPr>
    </w:lvl>
    <w:lvl w:ilvl="3">
      <w:start w:val="1"/>
      <w:numFmt w:val="lowerLetter"/>
      <w:lvlText w:val="%4)"/>
      <w:lvlJc w:val="left"/>
      <w:pPr>
        <w:tabs>
          <w:tab w:val="num" w:pos="1758"/>
        </w:tabs>
        <w:ind w:left="1758" w:hanging="567"/>
      </w:pPr>
      <w:rPr>
        <w:rFonts w:ascii="Times New Roman" w:hAnsi="Times New Roman" w:hint="default"/>
        <w:b w:val="0"/>
        <w:i w:val="0"/>
        <w:sz w:val="24"/>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160"/>
        </w:tabs>
        <w:ind w:left="2160" w:hanging="360"/>
      </w:pPr>
      <w:rPr>
        <w:rFonts w:ascii="Symbol" w:hAnsi="Symbol" w:hint="default"/>
        <w:sz w:val="1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C9282D"/>
    <w:multiLevelType w:val="hybridMultilevel"/>
    <w:tmpl w:val="1624A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32DD3"/>
    <w:multiLevelType w:val="hybridMultilevel"/>
    <w:tmpl w:val="C83EA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C3F4675"/>
    <w:multiLevelType w:val="hybridMultilevel"/>
    <w:tmpl w:val="F9721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040CE"/>
    <w:multiLevelType w:val="hybridMultilevel"/>
    <w:tmpl w:val="54B40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EE57E46"/>
    <w:multiLevelType w:val="hybridMultilevel"/>
    <w:tmpl w:val="30F0B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6726A"/>
    <w:multiLevelType w:val="hybridMultilevel"/>
    <w:tmpl w:val="264E03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364029C"/>
    <w:multiLevelType w:val="hybridMultilevel"/>
    <w:tmpl w:val="9788B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27C2F"/>
    <w:multiLevelType w:val="hybridMultilevel"/>
    <w:tmpl w:val="E6EC8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D421E"/>
    <w:multiLevelType w:val="hybridMultilevel"/>
    <w:tmpl w:val="8F02BC8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2"/>
  </w:num>
  <w:num w:numId="2">
    <w:abstractNumId w:val="12"/>
  </w:num>
  <w:num w:numId="3">
    <w:abstractNumId w:val="13"/>
  </w:num>
  <w:num w:numId="4">
    <w:abstractNumId w:val="7"/>
  </w:num>
  <w:num w:numId="5">
    <w:abstractNumId w:val="8"/>
  </w:num>
  <w:num w:numId="6">
    <w:abstractNumId w:val="15"/>
  </w:num>
  <w:num w:numId="7">
    <w:abstractNumId w:val="20"/>
  </w:num>
  <w:num w:numId="8">
    <w:abstractNumId w:val="26"/>
  </w:num>
  <w:num w:numId="9">
    <w:abstractNumId w:val="19"/>
  </w:num>
  <w:num w:numId="10">
    <w:abstractNumId w:val="4"/>
  </w:num>
  <w:num w:numId="11">
    <w:abstractNumId w:val="17"/>
  </w:num>
  <w:num w:numId="12">
    <w:abstractNumId w:val="24"/>
  </w:num>
  <w:num w:numId="13">
    <w:abstractNumId w:val="28"/>
  </w:num>
  <w:num w:numId="14">
    <w:abstractNumId w:val="25"/>
  </w:num>
  <w:num w:numId="15">
    <w:abstractNumId w:val="5"/>
  </w:num>
  <w:num w:numId="16">
    <w:abstractNumId w:val="3"/>
  </w:num>
  <w:num w:numId="17">
    <w:abstractNumId w:val="2"/>
  </w:num>
  <w:num w:numId="18">
    <w:abstractNumId w:val="16"/>
  </w:num>
  <w:num w:numId="19">
    <w:abstractNumId w:val="18"/>
  </w:num>
  <w:num w:numId="20">
    <w:abstractNumId w:val="29"/>
  </w:num>
  <w:num w:numId="21">
    <w:abstractNumId w:val="21"/>
  </w:num>
  <w:num w:numId="22">
    <w:abstractNumId w:val="1"/>
  </w:num>
  <w:num w:numId="23">
    <w:abstractNumId w:val="23"/>
  </w:num>
  <w:num w:numId="24">
    <w:abstractNumId w:val="30"/>
  </w:num>
  <w:num w:numId="25">
    <w:abstractNumId w:val="31"/>
  </w:num>
  <w:num w:numId="26">
    <w:abstractNumId w:val="10"/>
  </w:num>
  <w:num w:numId="27">
    <w:abstractNumId w:val="27"/>
  </w:num>
  <w:num w:numId="2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A"/>
    <w:rsid w:val="000011EA"/>
    <w:rsid w:val="00004044"/>
    <w:rsid w:val="000108E0"/>
    <w:rsid w:val="00011D62"/>
    <w:rsid w:val="00012A74"/>
    <w:rsid w:val="000152D3"/>
    <w:rsid w:val="00017E4E"/>
    <w:rsid w:val="000217EF"/>
    <w:rsid w:val="00022554"/>
    <w:rsid w:val="00022E18"/>
    <w:rsid w:val="00023C6D"/>
    <w:rsid w:val="00024A83"/>
    <w:rsid w:val="000333A4"/>
    <w:rsid w:val="0003605A"/>
    <w:rsid w:val="00036F64"/>
    <w:rsid w:val="00037C9E"/>
    <w:rsid w:val="00040FF4"/>
    <w:rsid w:val="0004137A"/>
    <w:rsid w:val="000418CB"/>
    <w:rsid w:val="00043539"/>
    <w:rsid w:val="0004477E"/>
    <w:rsid w:val="00045EFA"/>
    <w:rsid w:val="00047D51"/>
    <w:rsid w:val="0005148F"/>
    <w:rsid w:val="00051E54"/>
    <w:rsid w:val="00054360"/>
    <w:rsid w:val="000550F7"/>
    <w:rsid w:val="00056176"/>
    <w:rsid w:val="00062ABF"/>
    <w:rsid w:val="00065A38"/>
    <w:rsid w:val="00070B3D"/>
    <w:rsid w:val="0007183E"/>
    <w:rsid w:val="000744A7"/>
    <w:rsid w:val="00075680"/>
    <w:rsid w:val="0008066C"/>
    <w:rsid w:val="000815D9"/>
    <w:rsid w:val="00082A13"/>
    <w:rsid w:val="00085B89"/>
    <w:rsid w:val="000900F2"/>
    <w:rsid w:val="00090F0C"/>
    <w:rsid w:val="00091C37"/>
    <w:rsid w:val="00094611"/>
    <w:rsid w:val="000A18D3"/>
    <w:rsid w:val="000A1D17"/>
    <w:rsid w:val="000A64AB"/>
    <w:rsid w:val="000A69E5"/>
    <w:rsid w:val="000A7350"/>
    <w:rsid w:val="000B0294"/>
    <w:rsid w:val="000B0E42"/>
    <w:rsid w:val="000B0FA3"/>
    <w:rsid w:val="000B588D"/>
    <w:rsid w:val="000B6921"/>
    <w:rsid w:val="000B7D79"/>
    <w:rsid w:val="000C146E"/>
    <w:rsid w:val="000C1E8A"/>
    <w:rsid w:val="000C64B8"/>
    <w:rsid w:val="000D066A"/>
    <w:rsid w:val="000D1856"/>
    <w:rsid w:val="000D39C4"/>
    <w:rsid w:val="000D71C7"/>
    <w:rsid w:val="000D74C9"/>
    <w:rsid w:val="000E04F5"/>
    <w:rsid w:val="000E1089"/>
    <w:rsid w:val="000E2B83"/>
    <w:rsid w:val="000E2EC2"/>
    <w:rsid w:val="000E42F3"/>
    <w:rsid w:val="000F12AD"/>
    <w:rsid w:val="000F3C16"/>
    <w:rsid w:val="000F4C0E"/>
    <w:rsid w:val="00100B97"/>
    <w:rsid w:val="001022C9"/>
    <w:rsid w:val="00107593"/>
    <w:rsid w:val="00112B75"/>
    <w:rsid w:val="00114785"/>
    <w:rsid w:val="0011558B"/>
    <w:rsid w:val="00115A23"/>
    <w:rsid w:val="0012086F"/>
    <w:rsid w:val="00123493"/>
    <w:rsid w:val="00123C72"/>
    <w:rsid w:val="001243B1"/>
    <w:rsid w:val="00126D3C"/>
    <w:rsid w:val="00127AAC"/>
    <w:rsid w:val="00135A60"/>
    <w:rsid w:val="00136238"/>
    <w:rsid w:val="00136D21"/>
    <w:rsid w:val="0014513A"/>
    <w:rsid w:val="00145DD0"/>
    <w:rsid w:val="00147C6F"/>
    <w:rsid w:val="001500C4"/>
    <w:rsid w:val="001524C8"/>
    <w:rsid w:val="001535E4"/>
    <w:rsid w:val="00153D15"/>
    <w:rsid w:val="001544FF"/>
    <w:rsid w:val="00160EAF"/>
    <w:rsid w:val="001615D4"/>
    <w:rsid w:val="00162F9D"/>
    <w:rsid w:val="00164C44"/>
    <w:rsid w:val="0016666C"/>
    <w:rsid w:val="00174952"/>
    <w:rsid w:val="001759C5"/>
    <w:rsid w:val="00175ED9"/>
    <w:rsid w:val="00177F6C"/>
    <w:rsid w:val="001868BB"/>
    <w:rsid w:val="00192ACD"/>
    <w:rsid w:val="00193216"/>
    <w:rsid w:val="00193AC6"/>
    <w:rsid w:val="00193DAE"/>
    <w:rsid w:val="001A4B95"/>
    <w:rsid w:val="001A5F85"/>
    <w:rsid w:val="001A61A0"/>
    <w:rsid w:val="001A6AC1"/>
    <w:rsid w:val="001B182B"/>
    <w:rsid w:val="001B3552"/>
    <w:rsid w:val="001B4967"/>
    <w:rsid w:val="001C005C"/>
    <w:rsid w:val="001C3DF7"/>
    <w:rsid w:val="001C41E0"/>
    <w:rsid w:val="001C4E6C"/>
    <w:rsid w:val="001C6521"/>
    <w:rsid w:val="001D042E"/>
    <w:rsid w:val="001D12B5"/>
    <w:rsid w:val="001D183B"/>
    <w:rsid w:val="001D5DAB"/>
    <w:rsid w:val="001D6794"/>
    <w:rsid w:val="001E1E4E"/>
    <w:rsid w:val="001E6B2C"/>
    <w:rsid w:val="001E719E"/>
    <w:rsid w:val="001E79BD"/>
    <w:rsid w:val="001F232C"/>
    <w:rsid w:val="001F4423"/>
    <w:rsid w:val="001F5BEF"/>
    <w:rsid w:val="001F7C53"/>
    <w:rsid w:val="00200450"/>
    <w:rsid w:val="00200ADD"/>
    <w:rsid w:val="002024B4"/>
    <w:rsid w:val="0020350B"/>
    <w:rsid w:val="00204700"/>
    <w:rsid w:val="00205307"/>
    <w:rsid w:val="00210841"/>
    <w:rsid w:val="00216BB2"/>
    <w:rsid w:val="00217117"/>
    <w:rsid w:val="00217300"/>
    <w:rsid w:val="00217FBD"/>
    <w:rsid w:val="00221C88"/>
    <w:rsid w:val="002315DB"/>
    <w:rsid w:val="0023212A"/>
    <w:rsid w:val="00234B58"/>
    <w:rsid w:val="00235F8D"/>
    <w:rsid w:val="002362A9"/>
    <w:rsid w:val="00236993"/>
    <w:rsid w:val="00241C11"/>
    <w:rsid w:val="00241F42"/>
    <w:rsid w:val="00245B50"/>
    <w:rsid w:val="00245E9B"/>
    <w:rsid w:val="00246982"/>
    <w:rsid w:val="00246DE1"/>
    <w:rsid w:val="0025010A"/>
    <w:rsid w:val="002510A5"/>
    <w:rsid w:val="002527E5"/>
    <w:rsid w:val="00256933"/>
    <w:rsid w:val="00256DB7"/>
    <w:rsid w:val="00257595"/>
    <w:rsid w:val="00261B26"/>
    <w:rsid w:val="00262484"/>
    <w:rsid w:val="00262EAA"/>
    <w:rsid w:val="002665F4"/>
    <w:rsid w:val="002677E6"/>
    <w:rsid w:val="00267F05"/>
    <w:rsid w:val="0027002C"/>
    <w:rsid w:val="0027429F"/>
    <w:rsid w:val="0027443F"/>
    <w:rsid w:val="002746B3"/>
    <w:rsid w:val="00277242"/>
    <w:rsid w:val="00277ED8"/>
    <w:rsid w:val="002802B6"/>
    <w:rsid w:val="00280F21"/>
    <w:rsid w:val="002827D7"/>
    <w:rsid w:val="002834BE"/>
    <w:rsid w:val="00283986"/>
    <w:rsid w:val="002873A8"/>
    <w:rsid w:val="002933BE"/>
    <w:rsid w:val="00294AE5"/>
    <w:rsid w:val="0029621B"/>
    <w:rsid w:val="002971C2"/>
    <w:rsid w:val="0029763D"/>
    <w:rsid w:val="00297763"/>
    <w:rsid w:val="002A18F2"/>
    <w:rsid w:val="002A1E15"/>
    <w:rsid w:val="002A2582"/>
    <w:rsid w:val="002A3B98"/>
    <w:rsid w:val="002A4D22"/>
    <w:rsid w:val="002A6136"/>
    <w:rsid w:val="002A757C"/>
    <w:rsid w:val="002B079F"/>
    <w:rsid w:val="002B17A7"/>
    <w:rsid w:val="002B203E"/>
    <w:rsid w:val="002B38EB"/>
    <w:rsid w:val="002B5697"/>
    <w:rsid w:val="002B7EEE"/>
    <w:rsid w:val="002C38E1"/>
    <w:rsid w:val="002C4580"/>
    <w:rsid w:val="002D0363"/>
    <w:rsid w:val="002D180B"/>
    <w:rsid w:val="002D5CE2"/>
    <w:rsid w:val="002D684C"/>
    <w:rsid w:val="002E0171"/>
    <w:rsid w:val="002E1770"/>
    <w:rsid w:val="002E2252"/>
    <w:rsid w:val="002E4230"/>
    <w:rsid w:val="002E5CF4"/>
    <w:rsid w:val="002E65E1"/>
    <w:rsid w:val="002F0096"/>
    <w:rsid w:val="002F1908"/>
    <w:rsid w:val="002F204E"/>
    <w:rsid w:val="002F3065"/>
    <w:rsid w:val="002F3C11"/>
    <w:rsid w:val="002F6C2B"/>
    <w:rsid w:val="002F6F23"/>
    <w:rsid w:val="003003DB"/>
    <w:rsid w:val="00301A8C"/>
    <w:rsid w:val="003026C9"/>
    <w:rsid w:val="00302CC4"/>
    <w:rsid w:val="003077D8"/>
    <w:rsid w:val="00307D70"/>
    <w:rsid w:val="00311BD1"/>
    <w:rsid w:val="00315011"/>
    <w:rsid w:val="00316930"/>
    <w:rsid w:val="0031699B"/>
    <w:rsid w:val="00317238"/>
    <w:rsid w:val="00326818"/>
    <w:rsid w:val="003355B4"/>
    <w:rsid w:val="00335961"/>
    <w:rsid w:val="0033727F"/>
    <w:rsid w:val="003428C9"/>
    <w:rsid w:val="00344A96"/>
    <w:rsid w:val="00352C85"/>
    <w:rsid w:val="00355A97"/>
    <w:rsid w:val="0035756C"/>
    <w:rsid w:val="00361F74"/>
    <w:rsid w:val="00363122"/>
    <w:rsid w:val="00363AE7"/>
    <w:rsid w:val="00364C30"/>
    <w:rsid w:val="00370432"/>
    <w:rsid w:val="003711C7"/>
    <w:rsid w:val="00371564"/>
    <w:rsid w:val="00372267"/>
    <w:rsid w:val="003747C8"/>
    <w:rsid w:val="00374A36"/>
    <w:rsid w:val="003768EE"/>
    <w:rsid w:val="00381A9D"/>
    <w:rsid w:val="00381F7D"/>
    <w:rsid w:val="003830CA"/>
    <w:rsid w:val="0038495E"/>
    <w:rsid w:val="003870D7"/>
    <w:rsid w:val="003940D1"/>
    <w:rsid w:val="00397832"/>
    <w:rsid w:val="003978F2"/>
    <w:rsid w:val="003A0C70"/>
    <w:rsid w:val="003A4C46"/>
    <w:rsid w:val="003A5719"/>
    <w:rsid w:val="003A69E1"/>
    <w:rsid w:val="003A6E68"/>
    <w:rsid w:val="003B2A0C"/>
    <w:rsid w:val="003B4098"/>
    <w:rsid w:val="003B42D8"/>
    <w:rsid w:val="003B4511"/>
    <w:rsid w:val="003B5A87"/>
    <w:rsid w:val="003B5EC6"/>
    <w:rsid w:val="003B5F69"/>
    <w:rsid w:val="003B6695"/>
    <w:rsid w:val="003B6E24"/>
    <w:rsid w:val="003B799B"/>
    <w:rsid w:val="003B7D5C"/>
    <w:rsid w:val="003C0135"/>
    <w:rsid w:val="003C135B"/>
    <w:rsid w:val="003C1439"/>
    <w:rsid w:val="003C3803"/>
    <w:rsid w:val="003D14ED"/>
    <w:rsid w:val="003D305A"/>
    <w:rsid w:val="003D30D3"/>
    <w:rsid w:val="003D31BC"/>
    <w:rsid w:val="003D4AF8"/>
    <w:rsid w:val="003D5463"/>
    <w:rsid w:val="003D5E9D"/>
    <w:rsid w:val="003D6772"/>
    <w:rsid w:val="003D6CB4"/>
    <w:rsid w:val="003E05D4"/>
    <w:rsid w:val="003E1797"/>
    <w:rsid w:val="003E1F67"/>
    <w:rsid w:val="003E4717"/>
    <w:rsid w:val="003E61ED"/>
    <w:rsid w:val="003F3457"/>
    <w:rsid w:val="003F3948"/>
    <w:rsid w:val="003F50C6"/>
    <w:rsid w:val="003F60E9"/>
    <w:rsid w:val="00400745"/>
    <w:rsid w:val="00407C53"/>
    <w:rsid w:val="00410F43"/>
    <w:rsid w:val="00411CBE"/>
    <w:rsid w:val="0041691C"/>
    <w:rsid w:val="00416C29"/>
    <w:rsid w:val="00422439"/>
    <w:rsid w:val="004229EA"/>
    <w:rsid w:val="00433D2E"/>
    <w:rsid w:val="004344A7"/>
    <w:rsid w:val="00434C4F"/>
    <w:rsid w:val="00435147"/>
    <w:rsid w:val="004360CB"/>
    <w:rsid w:val="004377B7"/>
    <w:rsid w:val="00440A2C"/>
    <w:rsid w:val="004414C5"/>
    <w:rsid w:val="004414F4"/>
    <w:rsid w:val="00442A2A"/>
    <w:rsid w:val="00442CDE"/>
    <w:rsid w:val="00442EEA"/>
    <w:rsid w:val="00445903"/>
    <w:rsid w:val="00446852"/>
    <w:rsid w:val="00447EF7"/>
    <w:rsid w:val="00450023"/>
    <w:rsid w:val="00452180"/>
    <w:rsid w:val="00455258"/>
    <w:rsid w:val="00456FDC"/>
    <w:rsid w:val="004579E6"/>
    <w:rsid w:val="00460779"/>
    <w:rsid w:val="00461140"/>
    <w:rsid w:val="00463546"/>
    <w:rsid w:val="00465608"/>
    <w:rsid w:val="0046740D"/>
    <w:rsid w:val="00471678"/>
    <w:rsid w:val="0047327A"/>
    <w:rsid w:val="0047347A"/>
    <w:rsid w:val="00473AAE"/>
    <w:rsid w:val="00474033"/>
    <w:rsid w:val="00474210"/>
    <w:rsid w:val="0047557A"/>
    <w:rsid w:val="004801D1"/>
    <w:rsid w:val="00483DE1"/>
    <w:rsid w:val="00484071"/>
    <w:rsid w:val="00487533"/>
    <w:rsid w:val="004916B7"/>
    <w:rsid w:val="004918D4"/>
    <w:rsid w:val="00491A7C"/>
    <w:rsid w:val="00491C8F"/>
    <w:rsid w:val="0049274B"/>
    <w:rsid w:val="00495169"/>
    <w:rsid w:val="004953E4"/>
    <w:rsid w:val="004A0251"/>
    <w:rsid w:val="004A09DE"/>
    <w:rsid w:val="004A0EA3"/>
    <w:rsid w:val="004A61B6"/>
    <w:rsid w:val="004A7955"/>
    <w:rsid w:val="004A7ADD"/>
    <w:rsid w:val="004B158B"/>
    <w:rsid w:val="004B3B59"/>
    <w:rsid w:val="004B7305"/>
    <w:rsid w:val="004C0A58"/>
    <w:rsid w:val="004C1856"/>
    <w:rsid w:val="004C29AF"/>
    <w:rsid w:val="004C3A42"/>
    <w:rsid w:val="004C3B30"/>
    <w:rsid w:val="004C4B7A"/>
    <w:rsid w:val="004C6DAB"/>
    <w:rsid w:val="004D5931"/>
    <w:rsid w:val="004D666A"/>
    <w:rsid w:val="004D7BFF"/>
    <w:rsid w:val="004E013D"/>
    <w:rsid w:val="004E281D"/>
    <w:rsid w:val="004E3E78"/>
    <w:rsid w:val="004F45FF"/>
    <w:rsid w:val="004F5092"/>
    <w:rsid w:val="004F61E0"/>
    <w:rsid w:val="00500108"/>
    <w:rsid w:val="00500D31"/>
    <w:rsid w:val="005028D5"/>
    <w:rsid w:val="0050352A"/>
    <w:rsid w:val="00505594"/>
    <w:rsid w:val="00511353"/>
    <w:rsid w:val="00515CD5"/>
    <w:rsid w:val="005163A4"/>
    <w:rsid w:val="0051723D"/>
    <w:rsid w:val="0051797E"/>
    <w:rsid w:val="0052060C"/>
    <w:rsid w:val="0052288E"/>
    <w:rsid w:val="00523103"/>
    <w:rsid w:val="00523309"/>
    <w:rsid w:val="00523550"/>
    <w:rsid w:val="00524494"/>
    <w:rsid w:val="005245BE"/>
    <w:rsid w:val="005252B4"/>
    <w:rsid w:val="005273BF"/>
    <w:rsid w:val="00531766"/>
    <w:rsid w:val="005333DA"/>
    <w:rsid w:val="00535C0A"/>
    <w:rsid w:val="00535F95"/>
    <w:rsid w:val="00540382"/>
    <w:rsid w:val="005420C8"/>
    <w:rsid w:val="00544450"/>
    <w:rsid w:val="00552ECB"/>
    <w:rsid w:val="00552FD9"/>
    <w:rsid w:val="0055328E"/>
    <w:rsid w:val="0055397D"/>
    <w:rsid w:val="0056131B"/>
    <w:rsid w:val="00563922"/>
    <w:rsid w:val="0056508D"/>
    <w:rsid w:val="00565286"/>
    <w:rsid w:val="00566664"/>
    <w:rsid w:val="005674EB"/>
    <w:rsid w:val="00571A65"/>
    <w:rsid w:val="0057394A"/>
    <w:rsid w:val="00574975"/>
    <w:rsid w:val="0058078E"/>
    <w:rsid w:val="0058503F"/>
    <w:rsid w:val="00595751"/>
    <w:rsid w:val="005A4739"/>
    <w:rsid w:val="005A7B30"/>
    <w:rsid w:val="005B1AC2"/>
    <w:rsid w:val="005B4350"/>
    <w:rsid w:val="005C0149"/>
    <w:rsid w:val="005C053E"/>
    <w:rsid w:val="005C1B3A"/>
    <w:rsid w:val="005C4C9C"/>
    <w:rsid w:val="005C6D3A"/>
    <w:rsid w:val="005D5495"/>
    <w:rsid w:val="005D5D0F"/>
    <w:rsid w:val="005D5D17"/>
    <w:rsid w:val="005D6ACA"/>
    <w:rsid w:val="005E07E2"/>
    <w:rsid w:val="005E24BE"/>
    <w:rsid w:val="005E358F"/>
    <w:rsid w:val="005E38BF"/>
    <w:rsid w:val="005E59DA"/>
    <w:rsid w:val="005E6E7D"/>
    <w:rsid w:val="005E70BF"/>
    <w:rsid w:val="005F1A89"/>
    <w:rsid w:val="005F2077"/>
    <w:rsid w:val="005F50BD"/>
    <w:rsid w:val="005F54C1"/>
    <w:rsid w:val="005F6F67"/>
    <w:rsid w:val="0060058C"/>
    <w:rsid w:val="006024D4"/>
    <w:rsid w:val="00602C03"/>
    <w:rsid w:val="006059A5"/>
    <w:rsid w:val="00605DFD"/>
    <w:rsid w:val="0060799B"/>
    <w:rsid w:val="00610AC3"/>
    <w:rsid w:val="00611B03"/>
    <w:rsid w:val="00615354"/>
    <w:rsid w:val="0061557A"/>
    <w:rsid w:val="00616698"/>
    <w:rsid w:val="00616C34"/>
    <w:rsid w:val="00621561"/>
    <w:rsid w:val="00625FAB"/>
    <w:rsid w:val="00627EF6"/>
    <w:rsid w:val="00635D1E"/>
    <w:rsid w:val="00637074"/>
    <w:rsid w:val="00637458"/>
    <w:rsid w:val="006376DA"/>
    <w:rsid w:val="00640463"/>
    <w:rsid w:val="006404EB"/>
    <w:rsid w:val="00641CF5"/>
    <w:rsid w:val="0064324A"/>
    <w:rsid w:val="00645471"/>
    <w:rsid w:val="006467F7"/>
    <w:rsid w:val="006471F5"/>
    <w:rsid w:val="00651775"/>
    <w:rsid w:val="00653FC5"/>
    <w:rsid w:val="00655621"/>
    <w:rsid w:val="0065757A"/>
    <w:rsid w:val="00660C71"/>
    <w:rsid w:val="00665369"/>
    <w:rsid w:val="00670396"/>
    <w:rsid w:val="00680B06"/>
    <w:rsid w:val="0068308E"/>
    <w:rsid w:val="006844C6"/>
    <w:rsid w:val="00684B47"/>
    <w:rsid w:val="00685930"/>
    <w:rsid w:val="00686590"/>
    <w:rsid w:val="00686835"/>
    <w:rsid w:val="00687492"/>
    <w:rsid w:val="006A06B5"/>
    <w:rsid w:val="006A5549"/>
    <w:rsid w:val="006A67DA"/>
    <w:rsid w:val="006A712E"/>
    <w:rsid w:val="006B1FAF"/>
    <w:rsid w:val="006B3246"/>
    <w:rsid w:val="006B4592"/>
    <w:rsid w:val="006B4A7D"/>
    <w:rsid w:val="006B5807"/>
    <w:rsid w:val="006B7171"/>
    <w:rsid w:val="006C322A"/>
    <w:rsid w:val="006C4414"/>
    <w:rsid w:val="006C5700"/>
    <w:rsid w:val="006C6D7A"/>
    <w:rsid w:val="006C7A52"/>
    <w:rsid w:val="006C7C65"/>
    <w:rsid w:val="006C7CC1"/>
    <w:rsid w:val="006D16E2"/>
    <w:rsid w:val="006D4123"/>
    <w:rsid w:val="006D6106"/>
    <w:rsid w:val="006E1BAC"/>
    <w:rsid w:val="006E445C"/>
    <w:rsid w:val="006E7295"/>
    <w:rsid w:val="006F3CC5"/>
    <w:rsid w:val="006F6726"/>
    <w:rsid w:val="00702CD3"/>
    <w:rsid w:val="00704650"/>
    <w:rsid w:val="007129AF"/>
    <w:rsid w:val="00712C0D"/>
    <w:rsid w:val="00712D08"/>
    <w:rsid w:val="0071310A"/>
    <w:rsid w:val="007139FD"/>
    <w:rsid w:val="00713C6A"/>
    <w:rsid w:val="007150CD"/>
    <w:rsid w:val="00716A04"/>
    <w:rsid w:val="0072037E"/>
    <w:rsid w:val="00720846"/>
    <w:rsid w:val="0072130A"/>
    <w:rsid w:val="007226C4"/>
    <w:rsid w:val="00723A36"/>
    <w:rsid w:val="007250D1"/>
    <w:rsid w:val="00725F29"/>
    <w:rsid w:val="00726104"/>
    <w:rsid w:val="00732581"/>
    <w:rsid w:val="0073466A"/>
    <w:rsid w:val="0073493F"/>
    <w:rsid w:val="0073723D"/>
    <w:rsid w:val="00740A1C"/>
    <w:rsid w:val="00744045"/>
    <w:rsid w:val="007442E4"/>
    <w:rsid w:val="0074479D"/>
    <w:rsid w:val="007529F8"/>
    <w:rsid w:val="007539AB"/>
    <w:rsid w:val="007553BD"/>
    <w:rsid w:val="00760FAF"/>
    <w:rsid w:val="00763A45"/>
    <w:rsid w:val="00763F23"/>
    <w:rsid w:val="00764D8E"/>
    <w:rsid w:val="007655D5"/>
    <w:rsid w:val="007678ED"/>
    <w:rsid w:val="007731AD"/>
    <w:rsid w:val="00774A59"/>
    <w:rsid w:val="00774ED4"/>
    <w:rsid w:val="00775946"/>
    <w:rsid w:val="0077746D"/>
    <w:rsid w:val="00777F48"/>
    <w:rsid w:val="00780E64"/>
    <w:rsid w:val="0078196C"/>
    <w:rsid w:val="007828A8"/>
    <w:rsid w:val="00784D15"/>
    <w:rsid w:val="00791BB0"/>
    <w:rsid w:val="007942F0"/>
    <w:rsid w:val="00794F27"/>
    <w:rsid w:val="00795367"/>
    <w:rsid w:val="0079598B"/>
    <w:rsid w:val="007A16E7"/>
    <w:rsid w:val="007A2712"/>
    <w:rsid w:val="007A281D"/>
    <w:rsid w:val="007A312C"/>
    <w:rsid w:val="007A3612"/>
    <w:rsid w:val="007A4EB4"/>
    <w:rsid w:val="007A5503"/>
    <w:rsid w:val="007A647E"/>
    <w:rsid w:val="007A7680"/>
    <w:rsid w:val="007B4D56"/>
    <w:rsid w:val="007B5430"/>
    <w:rsid w:val="007B79A8"/>
    <w:rsid w:val="007C0898"/>
    <w:rsid w:val="007C1A10"/>
    <w:rsid w:val="007C2082"/>
    <w:rsid w:val="007C40B8"/>
    <w:rsid w:val="007C6965"/>
    <w:rsid w:val="007C78FE"/>
    <w:rsid w:val="007C7A5A"/>
    <w:rsid w:val="007D573E"/>
    <w:rsid w:val="007E45A2"/>
    <w:rsid w:val="007E4A96"/>
    <w:rsid w:val="007E620E"/>
    <w:rsid w:val="007E677B"/>
    <w:rsid w:val="007E7410"/>
    <w:rsid w:val="007F1505"/>
    <w:rsid w:val="007F6E6A"/>
    <w:rsid w:val="008040E9"/>
    <w:rsid w:val="0080550D"/>
    <w:rsid w:val="00805E42"/>
    <w:rsid w:val="00806873"/>
    <w:rsid w:val="00812222"/>
    <w:rsid w:val="00813DC0"/>
    <w:rsid w:val="008161F0"/>
    <w:rsid w:val="008200EF"/>
    <w:rsid w:val="008214A9"/>
    <w:rsid w:val="00826649"/>
    <w:rsid w:val="00832F39"/>
    <w:rsid w:val="0083604B"/>
    <w:rsid w:val="00840776"/>
    <w:rsid w:val="008425B9"/>
    <w:rsid w:val="00846046"/>
    <w:rsid w:val="0084778D"/>
    <w:rsid w:val="00856DC2"/>
    <w:rsid w:val="008570FB"/>
    <w:rsid w:val="00857C0D"/>
    <w:rsid w:val="008609D3"/>
    <w:rsid w:val="008618EB"/>
    <w:rsid w:val="00862FA2"/>
    <w:rsid w:val="008718CD"/>
    <w:rsid w:val="00873934"/>
    <w:rsid w:val="00874DCA"/>
    <w:rsid w:val="0087742E"/>
    <w:rsid w:val="00877578"/>
    <w:rsid w:val="008822A1"/>
    <w:rsid w:val="008843E6"/>
    <w:rsid w:val="0088478B"/>
    <w:rsid w:val="00884D0B"/>
    <w:rsid w:val="00886E82"/>
    <w:rsid w:val="00887E66"/>
    <w:rsid w:val="00890628"/>
    <w:rsid w:val="0089640C"/>
    <w:rsid w:val="0089703C"/>
    <w:rsid w:val="008976AF"/>
    <w:rsid w:val="008A2234"/>
    <w:rsid w:val="008A2868"/>
    <w:rsid w:val="008A6666"/>
    <w:rsid w:val="008A7226"/>
    <w:rsid w:val="008B020C"/>
    <w:rsid w:val="008B2C10"/>
    <w:rsid w:val="008B73E6"/>
    <w:rsid w:val="008C29BA"/>
    <w:rsid w:val="008D160C"/>
    <w:rsid w:val="008D4D19"/>
    <w:rsid w:val="008D5420"/>
    <w:rsid w:val="008D7B66"/>
    <w:rsid w:val="008E0539"/>
    <w:rsid w:val="008E0D37"/>
    <w:rsid w:val="008E1DAF"/>
    <w:rsid w:val="008E4612"/>
    <w:rsid w:val="008E75AF"/>
    <w:rsid w:val="008E7914"/>
    <w:rsid w:val="008F0123"/>
    <w:rsid w:val="008F0D54"/>
    <w:rsid w:val="008F1E65"/>
    <w:rsid w:val="008F75E3"/>
    <w:rsid w:val="009006BC"/>
    <w:rsid w:val="00902042"/>
    <w:rsid w:val="00902BD0"/>
    <w:rsid w:val="00902C00"/>
    <w:rsid w:val="0090413B"/>
    <w:rsid w:val="009044DE"/>
    <w:rsid w:val="00907DBF"/>
    <w:rsid w:val="009104A7"/>
    <w:rsid w:val="00910C61"/>
    <w:rsid w:val="00910C6C"/>
    <w:rsid w:val="009115BC"/>
    <w:rsid w:val="0092022A"/>
    <w:rsid w:val="00921D59"/>
    <w:rsid w:val="00922228"/>
    <w:rsid w:val="00922FE2"/>
    <w:rsid w:val="00923355"/>
    <w:rsid w:val="0092431D"/>
    <w:rsid w:val="00924E3E"/>
    <w:rsid w:val="00927621"/>
    <w:rsid w:val="00931530"/>
    <w:rsid w:val="00932049"/>
    <w:rsid w:val="00932782"/>
    <w:rsid w:val="00937811"/>
    <w:rsid w:val="00941206"/>
    <w:rsid w:val="00941F45"/>
    <w:rsid w:val="00943851"/>
    <w:rsid w:val="00946B3C"/>
    <w:rsid w:val="00947916"/>
    <w:rsid w:val="00950B1B"/>
    <w:rsid w:val="009521AC"/>
    <w:rsid w:val="00957860"/>
    <w:rsid w:val="009612EA"/>
    <w:rsid w:val="009649B9"/>
    <w:rsid w:val="00965274"/>
    <w:rsid w:val="00966EAD"/>
    <w:rsid w:val="009673C6"/>
    <w:rsid w:val="009675D8"/>
    <w:rsid w:val="00971DB2"/>
    <w:rsid w:val="009729DA"/>
    <w:rsid w:val="0097316B"/>
    <w:rsid w:val="0097351A"/>
    <w:rsid w:val="00973D8F"/>
    <w:rsid w:val="009743B0"/>
    <w:rsid w:val="009803EB"/>
    <w:rsid w:val="00981DAE"/>
    <w:rsid w:val="00983E30"/>
    <w:rsid w:val="00986AF1"/>
    <w:rsid w:val="00990D29"/>
    <w:rsid w:val="00994288"/>
    <w:rsid w:val="00995306"/>
    <w:rsid w:val="009958DA"/>
    <w:rsid w:val="009975A1"/>
    <w:rsid w:val="009A2804"/>
    <w:rsid w:val="009A2DC4"/>
    <w:rsid w:val="009A6E49"/>
    <w:rsid w:val="009B1002"/>
    <w:rsid w:val="009B13B2"/>
    <w:rsid w:val="009B2884"/>
    <w:rsid w:val="009B29F6"/>
    <w:rsid w:val="009B3C59"/>
    <w:rsid w:val="009B50C6"/>
    <w:rsid w:val="009B5265"/>
    <w:rsid w:val="009B5CAB"/>
    <w:rsid w:val="009B72B1"/>
    <w:rsid w:val="009B799A"/>
    <w:rsid w:val="009C08CA"/>
    <w:rsid w:val="009C3C62"/>
    <w:rsid w:val="009C471A"/>
    <w:rsid w:val="009D0035"/>
    <w:rsid w:val="009D03E9"/>
    <w:rsid w:val="009D1C3E"/>
    <w:rsid w:val="009E33FC"/>
    <w:rsid w:val="009E4D2D"/>
    <w:rsid w:val="009E5EAB"/>
    <w:rsid w:val="009E620E"/>
    <w:rsid w:val="009E6453"/>
    <w:rsid w:val="009E6DC5"/>
    <w:rsid w:val="009F055B"/>
    <w:rsid w:val="009F2DDE"/>
    <w:rsid w:val="009F3AD5"/>
    <w:rsid w:val="009F4265"/>
    <w:rsid w:val="009F466A"/>
    <w:rsid w:val="009F6E2C"/>
    <w:rsid w:val="00A0005B"/>
    <w:rsid w:val="00A0164B"/>
    <w:rsid w:val="00A03531"/>
    <w:rsid w:val="00A065CC"/>
    <w:rsid w:val="00A06B61"/>
    <w:rsid w:val="00A106F2"/>
    <w:rsid w:val="00A11ADC"/>
    <w:rsid w:val="00A15848"/>
    <w:rsid w:val="00A167AA"/>
    <w:rsid w:val="00A228DF"/>
    <w:rsid w:val="00A2426A"/>
    <w:rsid w:val="00A31670"/>
    <w:rsid w:val="00A322B9"/>
    <w:rsid w:val="00A35158"/>
    <w:rsid w:val="00A35608"/>
    <w:rsid w:val="00A35EBE"/>
    <w:rsid w:val="00A4181B"/>
    <w:rsid w:val="00A42225"/>
    <w:rsid w:val="00A42A30"/>
    <w:rsid w:val="00A42A54"/>
    <w:rsid w:val="00A43E28"/>
    <w:rsid w:val="00A4465F"/>
    <w:rsid w:val="00A46747"/>
    <w:rsid w:val="00A4758B"/>
    <w:rsid w:val="00A50B2E"/>
    <w:rsid w:val="00A51160"/>
    <w:rsid w:val="00A5179D"/>
    <w:rsid w:val="00A5466D"/>
    <w:rsid w:val="00A55244"/>
    <w:rsid w:val="00A55435"/>
    <w:rsid w:val="00A55AEE"/>
    <w:rsid w:val="00A609F8"/>
    <w:rsid w:val="00A616A6"/>
    <w:rsid w:val="00A62D25"/>
    <w:rsid w:val="00A65D11"/>
    <w:rsid w:val="00A66006"/>
    <w:rsid w:val="00A66730"/>
    <w:rsid w:val="00A67D2A"/>
    <w:rsid w:val="00A70E4F"/>
    <w:rsid w:val="00A72ED3"/>
    <w:rsid w:val="00A748BD"/>
    <w:rsid w:val="00A83B68"/>
    <w:rsid w:val="00A85CF6"/>
    <w:rsid w:val="00A86129"/>
    <w:rsid w:val="00A874F3"/>
    <w:rsid w:val="00A876C2"/>
    <w:rsid w:val="00A91243"/>
    <w:rsid w:val="00A91A68"/>
    <w:rsid w:val="00A927E6"/>
    <w:rsid w:val="00A930B5"/>
    <w:rsid w:val="00A933CB"/>
    <w:rsid w:val="00A95B07"/>
    <w:rsid w:val="00AA0415"/>
    <w:rsid w:val="00AA0876"/>
    <w:rsid w:val="00AA157D"/>
    <w:rsid w:val="00AA3186"/>
    <w:rsid w:val="00AA33F8"/>
    <w:rsid w:val="00AA3BDD"/>
    <w:rsid w:val="00AA4E82"/>
    <w:rsid w:val="00AA5161"/>
    <w:rsid w:val="00AA6220"/>
    <w:rsid w:val="00AA689B"/>
    <w:rsid w:val="00AA6D6C"/>
    <w:rsid w:val="00AB1EC2"/>
    <w:rsid w:val="00AB2DA3"/>
    <w:rsid w:val="00AB3DF0"/>
    <w:rsid w:val="00AB5B46"/>
    <w:rsid w:val="00AB7A11"/>
    <w:rsid w:val="00AC0986"/>
    <w:rsid w:val="00AC21CB"/>
    <w:rsid w:val="00AC5B63"/>
    <w:rsid w:val="00AC64F6"/>
    <w:rsid w:val="00AC65F1"/>
    <w:rsid w:val="00AC7A85"/>
    <w:rsid w:val="00AD18F8"/>
    <w:rsid w:val="00AD690D"/>
    <w:rsid w:val="00AD6C33"/>
    <w:rsid w:val="00AE3DC1"/>
    <w:rsid w:val="00AE6D1A"/>
    <w:rsid w:val="00AE77A0"/>
    <w:rsid w:val="00AE7A0F"/>
    <w:rsid w:val="00AF02F5"/>
    <w:rsid w:val="00AF2062"/>
    <w:rsid w:val="00AF47F0"/>
    <w:rsid w:val="00AF4A56"/>
    <w:rsid w:val="00AF5616"/>
    <w:rsid w:val="00AF57F2"/>
    <w:rsid w:val="00B007C4"/>
    <w:rsid w:val="00B0189B"/>
    <w:rsid w:val="00B04BBA"/>
    <w:rsid w:val="00B0569F"/>
    <w:rsid w:val="00B06600"/>
    <w:rsid w:val="00B06C12"/>
    <w:rsid w:val="00B10366"/>
    <w:rsid w:val="00B21DF6"/>
    <w:rsid w:val="00B24393"/>
    <w:rsid w:val="00B24D80"/>
    <w:rsid w:val="00B303FD"/>
    <w:rsid w:val="00B31D81"/>
    <w:rsid w:val="00B3259C"/>
    <w:rsid w:val="00B339A4"/>
    <w:rsid w:val="00B34669"/>
    <w:rsid w:val="00B3481F"/>
    <w:rsid w:val="00B35640"/>
    <w:rsid w:val="00B36109"/>
    <w:rsid w:val="00B413E5"/>
    <w:rsid w:val="00B420C8"/>
    <w:rsid w:val="00B43B6C"/>
    <w:rsid w:val="00B44A15"/>
    <w:rsid w:val="00B45456"/>
    <w:rsid w:val="00B465EE"/>
    <w:rsid w:val="00B51471"/>
    <w:rsid w:val="00B55A6F"/>
    <w:rsid w:val="00B607FE"/>
    <w:rsid w:val="00B62E90"/>
    <w:rsid w:val="00B643F5"/>
    <w:rsid w:val="00B663B6"/>
    <w:rsid w:val="00B664A9"/>
    <w:rsid w:val="00B70C63"/>
    <w:rsid w:val="00B73053"/>
    <w:rsid w:val="00B76BEB"/>
    <w:rsid w:val="00B8132C"/>
    <w:rsid w:val="00B8165C"/>
    <w:rsid w:val="00B853F3"/>
    <w:rsid w:val="00B85A3E"/>
    <w:rsid w:val="00B873CF"/>
    <w:rsid w:val="00B87C1A"/>
    <w:rsid w:val="00B919C1"/>
    <w:rsid w:val="00B91DC4"/>
    <w:rsid w:val="00B94C50"/>
    <w:rsid w:val="00B97275"/>
    <w:rsid w:val="00B97A1F"/>
    <w:rsid w:val="00BA10C3"/>
    <w:rsid w:val="00BA1DD6"/>
    <w:rsid w:val="00BA34F0"/>
    <w:rsid w:val="00BA365F"/>
    <w:rsid w:val="00BA4F29"/>
    <w:rsid w:val="00BA7A88"/>
    <w:rsid w:val="00BB2671"/>
    <w:rsid w:val="00BB2DAE"/>
    <w:rsid w:val="00BB61CD"/>
    <w:rsid w:val="00BB63B1"/>
    <w:rsid w:val="00BB7382"/>
    <w:rsid w:val="00BC005B"/>
    <w:rsid w:val="00BC2B3C"/>
    <w:rsid w:val="00BC326D"/>
    <w:rsid w:val="00BC40C9"/>
    <w:rsid w:val="00BD1B31"/>
    <w:rsid w:val="00BD3D0C"/>
    <w:rsid w:val="00BD602F"/>
    <w:rsid w:val="00BE05FE"/>
    <w:rsid w:val="00BE0EDA"/>
    <w:rsid w:val="00BE1B15"/>
    <w:rsid w:val="00BE55D7"/>
    <w:rsid w:val="00BE745F"/>
    <w:rsid w:val="00BE78C8"/>
    <w:rsid w:val="00BE78D9"/>
    <w:rsid w:val="00BF02EC"/>
    <w:rsid w:val="00BF03A7"/>
    <w:rsid w:val="00BF391C"/>
    <w:rsid w:val="00BF4466"/>
    <w:rsid w:val="00BF5736"/>
    <w:rsid w:val="00BF7D3B"/>
    <w:rsid w:val="00C007F4"/>
    <w:rsid w:val="00C1036F"/>
    <w:rsid w:val="00C10B30"/>
    <w:rsid w:val="00C12958"/>
    <w:rsid w:val="00C26C26"/>
    <w:rsid w:val="00C26C8C"/>
    <w:rsid w:val="00C3164E"/>
    <w:rsid w:val="00C324F2"/>
    <w:rsid w:val="00C32AE1"/>
    <w:rsid w:val="00C3322F"/>
    <w:rsid w:val="00C35B34"/>
    <w:rsid w:val="00C37AD0"/>
    <w:rsid w:val="00C37E24"/>
    <w:rsid w:val="00C41C2B"/>
    <w:rsid w:val="00C424B3"/>
    <w:rsid w:val="00C51AD0"/>
    <w:rsid w:val="00C531D8"/>
    <w:rsid w:val="00C53A36"/>
    <w:rsid w:val="00C57D98"/>
    <w:rsid w:val="00C622C0"/>
    <w:rsid w:val="00C66595"/>
    <w:rsid w:val="00C73875"/>
    <w:rsid w:val="00C76034"/>
    <w:rsid w:val="00C83766"/>
    <w:rsid w:val="00C867C7"/>
    <w:rsid w:val="00C87E76"/>
    <w:rsid w:val="00C92D2D"/>
    <w:rsid w:val="00C94993"/>
    <w:rsid w:val="00CA5DB6"/>
    <w:rsid w:val="00CA7F0C"/>
    <w:rsid w:val="00CB27F5"/>
    <w:rsid w:val="00CB3885"/>
    <w:rsid w:val="00CB3CAE"/>
    <w:rsid w:val="00CB45C0"/>
    <w:rsid w:val="00CB4EAD"/>
    <w:rsid w:val="00CB55B4"/>
    <w:rsid w:val="00CB6CBD"/>
    <w:rsid w:val="00CB7799"/>
    <w:rsid w:val="00CB7C27"/>
    <w:rsid w:val="00CC1665"/>
    <w:rsid w:val="00CC1990"/>
    <w:rsid w:val="00CD7C3C"/>
    <w:rsid w:val="00CE0916"/>
    <w:rsid w:val="00CE0965"/>
    <w:rsid w:val="00CE1BBE"/>
    <w:rsid w:val="00CE232E"/>
    <w:rsid w:val="00CE3A34"/>
    <w:rsid w:val="00CF4ACA"/>
    <w:rsid w:val="00CF6835"/>
    <w:rsid w:val="00D04308"/>
    <w:rsid w:val="00D045D0"/>
    <w:rsid w:val="00D0471B"/>
    <w:rsid w:val="00D05103"/>
    <w:rsid w:val="00D06451"/>
    <w:rsid w:val="00D10689"/>
    <w:rsid w:val="00D1159E"/>
    <w:rsid w:val="00D12233"/>
    <w:rsid w:val="00D1241C"/>
    <w:rsid w:val="00D125F9"/>
    <w:rsid w:val="00D14373"/>
    <w:rsid w:val="00D23662"/>
    <w:rsid w:val="00D2525E"/>
    <w:rsid w:val="00D26AD1"/>
    <w:rsid w:val="00D27176"/>
    <w:rsid w:val="00D27C41"/>
    <w:rsid w:val="00D31FA7"/>
    <w:rsid w:val="00D33097"/>
    <w:rsid w:val="00D33AA9"/>
    <w:rsid w:val="00D35047"/>
    <w:rsid w:val="00D473CF"/>
    <w:rsid w:val="00D511EB"/>
    <w:rsid w:val="00D51D9D"/>
    <w:rsid w:val="00D52F1B"/>
    <w:rsid w:val="00D53712"/>
    <w:rsid w:val="00D53777"/>
    <w:rsid w:val="00D54AD4"/>
    <w:rsid w:val="00D5642B"/>
    <w:rsid w:val="00D62824"/>
    <w:rsid w:val="00D629B6"/>
    <w:rsid w:val="00D6586E"/>
    <w:rsid w:val="00D65EBE"/>
    <w:rsid w:val="00D66F8E"/>
    <w:rsid w:val="00D73836"/>
    <w:rsid w:val="00D744BF"/>
    <w:rsid w:val="00D765B6"/>
    <w:rsid w:val="00D8085A"/>
    <w:rsid w:val="00D8094A"/>
    <w:rsid w:val="00D86475"/>
    <w:rsid w:val="00D90E2D"/>
    <w:rsid w:val="00D93BA7"/>
    <w:rsid w:val="00D93C18"/>
    <w:rsid w:val="00D93C8E"/>
    <w:rsid w:val="00D95BC9"/>
    <w:rsid w:val="00DA0215"/>
    <w:rsid w:val="00DA0667"/>
    <w:rsid w:val="00DA1F1F"/>
    <w:rsid w:val="00DA2488"/>
    <w:rsid w:val="00DA4EBA"/>
    <w:rsid w:val="00DA65D4"/>
    <w:rsid w:val="00DA67C2"/>
    <w:rsid w:val="00DA7A56"/>
    <w:rsid w:val="00DB2F29"/>
    <w:rsid w:val="00DB444B"/>
    <w:rsid w:val="00DC0250"/>
    <w:rsid w:val="00DC5E2C"/>
    <w:rsid w:val="00DC5E88"/>
    <w:rsid w:val="00DC5FC5"/>
    <w:rsid w:val="00DC68BE"/>
    <w:rsid w:val="00DC6F52"/>
    <w:rsid w:val="00DD265D"/>
    <w:rsid w:val="00DD44C1"/>
    <w:rsid w:val="00DD5CAE"/>
    <w:rsid w:val="00DD5ED8"/>
    <w:rsid w:val="00DD7379"/>
    <w:rsid w:val="00DD74FA"/>
    <w:rsid w:val="00DE031D"/>
    <w:rsid w:val="00DE1EDB"/>
    <w:rsid w:val="00DE2DB5"/>
    <w:rsid w:val="00DE2F81"/>
    <w:rsid w:val="00DE4FD9"/>
    <w:rsid w:val="00DE54D8"/>
    <w:rsid w:val="00DE55A7"/>
    <w:rsid w:val="00DF5CE6"/>
    <w:rsid w:val="00E04910"/>
    <w:rsid w:val="00E07333"/>
    <w:rsid w:val="00E07E3F"/>
    <w:rsid w:val="00E12EC4"/>
    <w:rsid w:val="00E151C0"/>
    <w:rsid w:val="00E16C4F"/>
    <w:rsid w:val="00E176BC"/>
    <w:rsid w:val="00E25E2C"/>
    <w:rsid w:val="00E30AB7"/>
    <w:rsid w:val="00E32BB9"/>
    <w:rsid w:val="00E32EC0"/>
    <w:rsid w:val="00E33FD2"/>
    <w:rsid w:val="00E3489C"/>
    <w:rsid w:val="00E348BF"/>
    <w:rsid w:val="00E3606F"/>
    <w:rsid w:val="00E402AE"/>
    <w:rsid w:val="00E42AEA"/>
    <w:rsid w:val="00E439C5"/>
    <w:rsid w:val="00E44598"/>
    <w:rsid w:val="00E44A7A"/>
    <w:rsid w:val="00E4736F"/>
    <w:rsid w:val="00E51348"/>
    <w:rsid w:val="00E5154D"/>
    <w:rsid w:val="00E51849"/>
    <w:rsid w:val="00E522E1"/>
    <w:rsid w:val="00E5254C"/>
    <w:rsid w:val="00E54146"/>
    <w:rsid w:val="00E55148"/>
    <w:rsid w:val="00E56B3B"/>
    <w:rsid w:val="00E600B0"/>
    <w:rsid w:val="00E6139F"/>
    <w:rsid w:val="00E61B05"/>
    <w:rsid w:val="00E7270D"/>
    <w:rsid w:val="00E72A6A"/>
    <w:rsid w:val="00E7643B"/>
    <w:rsid w:val="00E81132"/>
    <w:rsid w:val="00E83C88"/>
    <w:rsid w:val="00E85583"/>
    <w:rsid w:val="00E86A5E"/>
    <w:rsid w:val="00E87F65"/>
    <w:rsid w:val="00E90BB0"/>
    <w:rsid w:val="00E9223F"/>
    <w:rsid w:val="00E94646"/>
    <w:rsid w:val="00E951A8"/>
    <w:rsid w:val="00E977ED"/>
    <w:rsid w:val="00EA0876"/>
    <w:rsid w:val="00EA7A2B"/>
    <w:rsid w:val="00EB14D6"/>
    <w:rsid w:val="00EB3A15"/>
    <w:rsid w:val="00EB50CA"/>
    <w:rsid w:val="00EC1D38"/>
    <w:rsid w:val="00EC57A0"/>
    <w:rsid w:val="00ED147F"/>
    <w:rsid w:val="00ED1D6D"/>
    <w:rsid w:val="00ED2C85"/>
    <w:rsid w:val="00ED3108"/>
    <w:rsid w:val="00ED3855"/>
    <w:rsid w:val="00ED4778"/>
    <w:rsid w:val="00ED4FCC"/>
    <w:rsid w:val="00ED5421"/>
    <w:rsid w:val="00EE187E"/>
    <w:rsid w:val="00EE2064"/>
    <w:rsid w:val="00EE31DE"/>
    <w:rsid w:val="00EF1345"/>
    <w:rsid w:val="00EF31B7"/>
    <w:rsid w:val="00EF3229"/>
    <w:rsid w:val="00EF43EF"/>
    <w:rsid w:val="00EF45E9"/>
    <w:rsid w:val="00EF48DB"/>
    <w:rsid w:val="00EF50E9"/>
    <w:rsid w:val="00EF5AC5"/>
    <w:rsid w:val="00EF5D41"/>
    <w:rsid w:val="00EF631A"/>
    <w:rsid w:val="00F047A9"/>
    <w:rsid w:val="00F0498F"/>
    <w:rsid w:val="00F0508E"/>
    <w:rsid w:val="00F06E45"/>
    <w:rsid w:val="00F16028"/>
    <w:rsid w:val="00F16C27"/>
    <w:rsid w:val="00F214BE"/>
    <w:rsid w:val="00F21818"/>
    <w:rsid w:val="00F21D0F"/>
    <w:rsid w:val="00F21D77"/>
    <w:rsid w:val="00F22A23"/>
    <w:rsid w:val="00F22D3C"/>
    <w:rsid w:val="00F2740B"/>
    <w:rsid w:val="00F3006E"/>
    <w:rsid w:val="00F3076B"/>
    <w:rsid w:val="00F309C6"/>
    <w:rsid w:val="00F33419"/>
    <w:rsid w:val="00F34A42"/>
    <w:rsid w:val="00F40152"/>
    <w:rsid w:val="00F41DB3"/>
    <w:rsid w:val="00F4279D"/>
    <w:rsid w:val="00F42A8F"/>
    <w:rsid w:val="00F44360"/>
    <w:rsid w:val="00F4641F"/>
    <w:rsid w:val="00F477A9"/>
    <w:rsid w:val="00F47DF1"/>
    <w:rsid w:val="00F512CB"/>
    <w:rsid w:val="00F5173B"/>
    <w:rsid w:val="00F51D4A"/>
    <w:rsid w:val="00F540A1"/>
    <w:rsid w:val="00F56AF5"/>
    <w:rsid w:val="00F60576"/>
    <w:rsid w:val="00F605C1"/>
    <w:rsid w:val="00F60A6C"/>
    <w:rsid w:val="00F62926"/>
    <w:rsid w:val="00F64477"/>
    <w:rsid w:val="00F67AEA"/>
    <w:rsid w:val="00F754CE"/>
    <w:rsid w:val="00F82598"/>
    <w:rsid w:val="00F85D8B"/>
    <w:rsid w:val="00F8638C"/>
    <w:rsid w:val="00F867B8"/>
    <w:rsid w:val="00F9000C"/>
    <w:rsid w:val="00F91355"/>
    <w:rsid w:val="00F930FE"/>
    <w:rsid w:val="00F95D2F"/>
    <w:rsid w:val="00FA5EE5"/>
    <w:rsid w:val="00FA7154"/>
    <w:rsid w:val="00FA73DF"/>
    <w:rsid w:val="00FA7E2A"/>
    <w:rsid w:val="00FB6A9A"/>
    <w:rsid w:val="00FC0872"/>
    <w:rsid w:val="00FC5280"/>
    <w:rsid w:val="00FC6EBB"/>
    <w:rsid w:val="00FD0A70"/>
    <w:rsid w:val="00FD0D70"/>
    <w:rsid w:val="00FD0FE5"/>
    <w:rsid w:val="00FD1311"/>
    <w:rsid w:val="00FD1C7B"/>
    <w:rsid w:val="00FD3BCF"/>
    <w:rsid w:val="00FD456B"/>
    <w:rsid w:val="00FD620B"/>
    <w:rsid w:val="00FD66FD"/>
    <w:rsid w:val="00FE1626"/>
    <w:rsid w:val="00FE1F68"/>
    <w:rsid w:val="00FE24AE"/>
    <w:rsid w:val="00FE3AAB"/>
    <w:rsid w:val="00FE3EF3"/>
    <w:rsid w:val="00FE4282"/>
    <w:rsid w:val="00FE5F75"/>
    <w:rsid w:val="00FF3982"/>
    <w:rsid w:val="00FF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E03E"/>
  <w15:chartTrackingRefBased/>
  <w15:docId w15:val="{98E65A1E-D30A-49E7-9CFE-FD42059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7A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C6965"/>
    <w:pPr>
      <w:spacing w:after="240"/>
      <w:jc w:val="center"/>
      <w:outlineLvl w:val="0"/>
    </w:pPr>
    <w:rPr>
      <w:b/>
      <w:bCs/>
      <w:sz w:val="28"/>
      <w:szCs w:val="28"/>
    </w:rPr>
  </w:style>
  <w:style w:type="paragraph" w:styleId="Nagwek2">
    <w:name w:val="heading 2"/>
    <w:basedOn w:val="Normalny"/>
    <w:next w:val="Normalny"/>
    <w:link w:val="Nagwek2Znak"/>
    <w:uiPriority w:val="9"/>
    <w:unhideWhenUsed/>
    <w:qFormat/>
    <w:rsid w:val="007C6965"/>
    <w:pPr>
      <w:spacing w:after="120"/>
      <w:jc w:val="center"/>
      <w:outlineLvl w:val="1"/>
    </w:pPr>
    <w:rPr>
      <w:b/>
      <w:bCs/>
    </w:rPr>
  </w:style>
  <w:style w:type="paragraph" w:styleId="Nagwek3">
    <w:name w:val="heading 3"/>
    <w:basedOn w:val="Normalny"/>
    <w:next w:val="Normalny"/>
    <w:link w:val="Nagwek3Znak"/>
    <w:uiPriority w:val="9"/>
    <w:unhideWhenUsed/>
    <w:qFormat/>
    <w:rsid w:val="00A167AA"/>
    <w:pPr>
      <w:keepNext/>
      <w:keepLines/>
      <w:spacing w:before="200"/>
      <w:outlineLvl w:val="2"/>
    </w:pPr>
    <w:rPr>
      <w:rFonts w:ascii="Cambria" w:hAnsi="Cambria"/>
      <w:b/>
      <w:bCs/>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C6965"/>
    <w:rPr>
      <w:rFonts w:ascii="Times New Roman" w:eastAsia="Times New Roman" w:hAnsi="Times New Roman"/>
      <w:b/>
      <w:bCs/>
      <w:sz w:val="28"/>
      <w:szCs w:val="28"/>
    </w:rPr>
  </w:style>
  <w:style w:type="character" w:customStyle="1" w:styleId="Nagwek3Znak">
    <w:name w:val="Nagłówek 3 Znak"/>
    <w:link w:val="Nagwek3"/>
    <w:uiPriority w:val="9"/>
    <w:rsid w:val="00A167AA"/>
    <w:rPr>
      <w:rFonts w:ascii="Cambria" w:eastAsia="Times New Roman" w:hAnsi="Cambria" w:cs="Times New Roman"/>
      <w:b/>
      <w:bCs/>
      <w:color w:val="000000"/>
      <w:sz w:val="24"/>
      <w:szCs w:val="24"/>
      <w:lang w:eastAsia="pl-PL"/>
    </w:rPr>
  </w:style>
  <w:style w:type="paragraph" w:styleId="Nagwek">
    <w:name w:val="header"/>
    <w:basedOn w:val="Normalny"/>
    <w:link w:val="NagwekZnak"/>
    <w:uiPriority w:val="99"/>
    <w:rsid w:val="00A167AA"/>
    <w:pPr>
      <w:tabs>
        <w:tab w:val="center" w:pos="4536"/>
        <w:tab w:val="right" w:pos="9072"/>
      </w:tabs>
      <w:autoSpaceDE w:val="0"/>
      <w:autoSpaceDN w:val="0"/>
      <w:adjustRightInd w:val="0"/>
      <w:spacing w:line="264" w:lineRule="auto"/>
      <w:jc w:val="both"/>
    </w:pPr>
    <w:rPr>
      <w:snapToGrid w:val="0"/>
      <w:position w:val="-10"/>
      <w:szCs w:val="20"/>
      <w:lang w:val="x-none"/>
    </w:rPr>
  </w:style>
  <w:style w:type="character" w:customStyle="1" w:styleId="NagwekZnak">
    <w:name w:val="Nagłówek Znak"/>
    <w:link w:val="Nagwek"/>
    <w:uiPriority w:val="99"/>
    <w:rsid w:val="00A167AA"/>
    <w:rPr>
      <w:rFonts w:ascii="Times New Roman" w:eastAsia="Times New Roman" w:hAnsi="Times New Roman" w:cs="Times New Roman"/>
      <w:snapToGrid w:val="0"/>
      <w:position w:val="-10"/>
      <w:sz w:val="24"/>
      <w:szCs w:val="20"/>
      <w:lang w:eastAsia="pl-PL"/>
    </w:rPr>
  </w:style>
  <w:style w:type="paragraph" w:styleId="Tekstpodstawowy">
    <w:name w:val="Body Text"/>
    <w:basedOn w:val="Normalny"/>
    <w:link w:val="TekstpodstawowyZnak"/>
    <w:rsid w:val="00A167AA"/>
    <w:pPr>
      <w:autoSpaceDE w:val="0"/>
      <w:autoSpaceDN w:val="0"/>
      <w:adjustRightInd w:val="0"/>
      <w:spacing w:line="264" w:lineRule="auto"/>
      <w:jc w:val="both"/>
    </w:pPr>
    <w:rPr>
      <w:snapToGrid w:val="0"/>
      <w:position w:val="-10"/>
      <w:lang w:val="x-none"/>
    </w:rPr>
  </w:style>
  <w:style w:type="character" w:customStyle="1" w:styleId="TekstpodstawowyZnak">
    <w:name w:val="Tekst podstawowy Znak"/>
    <w:link w:val="Tekstpodstawowy"/>
    <w:rsid w:val="00A167AA"/>
    <w:rPr>
      <w:rFonts w:ascii="Times New Roman" w:eastAsia="Times New Roman" w:hAnsi="Times New Roman" w:cs="Times New Roman"/>
      <w:snapToGrid w:val="0"/>
      <w:position w:val="-10"/>
      <w:sz w:val="24"/>
      <w:szCs w:val="24"/>
      <w:lang w:eastAsia="pl-PL"/>
    </w:rPr>
  </w:style>
  <w:style w:type="paragraph" w:styleId="Tekstkomentarza">
    <w:name w:val="annotation text"/>
    <w:basedOn w:val="Normalny"/>
    <w:link w:val="TekstkomentarzaZnak"/>
    <w:uiPriority w:val="99"/>
    <w:semiHidden/>
    <w:rsid w:val="00A167AA"/>
    <w:pPr>
      <w:numPr>
        <w:ilvl w:val="2"/>
        <w:numId w:val="1"/>
      </w:numPr>
      <w:autoSpaceDE w:val="0"/>
      <w:autoSpaceDN w:val="0"/>
      <w:adjustRightInd w:val="0"/>
      <w:spacing w:line="264" w:lineRule="auto"/>
      <w:jc w:val="both"/>
    </w:pPr>
    <w:rPr>
      <w:snapToGrid w:val="0"/>
      <w:position w:val="-10"/>
      <w:lang w:val="x-none"/>
    </w:rPr>
  </w:style>
  <w:style w:type="character" w:customStyle="1" w:styleId="TekstkomentarzaZnak">
    <w:name w:val="Tekst komentarza Znak"/>
    <w:link w:val="Tekstkomentarza"/>
    <w:semiHidden/>
    <w:rsid w:val="00A167AA"/>
    <w:rPr>
      <w:rFonts w:ascii="Times New Roman" w:eastAsia="Times New Roman" w:hAnsi="Times New Roman"/>
      <w:snapToGrid w:val="0"/>
      <w:position w:val="-10"/>
      <w:sz w:val="24"/>
      <w:szCs w:val="24"/>
      <w:lang w:val="x-none"/>
    </w:rPr>
  </w:style>
  <w:style w:type="paragraph" w:styleId="Tytu">
    <w:name w:val="Title"/>
    <w:basedOn w:val="Normalny"/>
    <w:link w:val="TytuZnak"/>
    <w:qFormat/>
    <w:rsid w:val="00A167AA"/>
    <w:pPr>
      <w:ind w:left="7080" w:firstLine="291"/>
      <w:jc w:val="center"/>
    </w:pPr>
    <w:rPr>
      <w:b/>
      <w:i/>
      <w:lang w:val="x-none"/>
    </w:rPr>
  </w:style>
  <w:style w:type="character" w:customStyle="1" w:styleId="TytuZnak">
    <w:name w:val="Tytuł Znak"/>
    <w:link w:val="Tytu"/>
    <w:rsid w:val="00A167AA"/>
    <w:rPr>
      <w:rFonts w:ascii="Times New Roman" w:eastAsia="Times New Roman" w:hAnsi="Times New Roman" w:cs="Times New Roman"/>
      <w:b/>
      <w:i/>
      <w:sz w:val="24"/>
      <w:szCs w:val="24"/>
      <w:lang w:eastAsia="pl-PL"/>
    </w:rPr>
  </w:style>
  <w:style w:type="paragraph" w:styleId="Akapitzlist">
    <w:name w:val="List Paragraph"/>
    <w:aliases w:val="Bullets"/>
    <w:basedOn w:val="Normalny"/>
    <w:link w:val="AkapitzlistZnak"/>
    <w:uiPriority w:val="99"/>
    <w:qFormat/>
    <w:rsid w:val="00A167AA"/>
    <w:pPr>
      <w:ind w:left="720"/>
      <w:contextualSpacing/>
    </w:pPr>
  </w:style>
  <w:style w:type="paragraph" w:styleId="Stopka">
    <w:name w:val="footer"/>
    <w:basedOn w:val="Normalny"/>
    <w:link w:val="StopkaZnak"/>
    <w:uiPriority w:val="99"/>
    <w:unhideWhenUsed/>
    <w:rsid w:val="00A167AA"/>
    <w:pPr>
      <w:tabs>
        <w:tab w:val="center" w:pos="4536"/>
        <w:tab w:val="right" w:pos="9072"/>
      </w:tabs>
    </w:pPr>
    <w:rPr>
      <w:lang w:val="x-none"/>
    </w:rPr>
  </w:style>
  <w:style w:type="character" w:customStyle="1" w:styleId="StopkaZnak">
    <w:name w:val="Stopka Znak"/>
    <w:link w:val="Stopka"/>
    <w:uiPriority w:val="99"/>
    <w:rsid w:val="00A167AA"/>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A167AA"/>
    <w:pPr>
      <w:tabs>
        <w:tab w:val="right" w:leader="dot" w:pos="9060"/>
      </w:tabs>
      <w:spacing w:line="276" w:lineRule="auto"/>
    </w:pPr>
    <w:rPr>
      <w:b/>
      <w:noProof/>
      <w:sz w:val="26"/>
      <w:szCs w:val="26"/>
    </w:rPr>
  </w:style>
  <w:style w:type="character" w:styleId="Hipercze">
    <w:name w:val="Hyperlink"/>
    <w:uiPriority w:val="99"/>
    <w:unhideWhenUsed/>
    <w:rsid w:val="00A167AA"/>
    <w:rPr>
      <w:color w:val="0000FF"/>
      <w:u w:val="single"/>
    </w:rPr>
  </w:style>
  <w:style w:type="paragraph" w:styleId="Spistreci3">
    <w:name w:val="toc 3"/>
    <w:basedOn w:val="Normalny"/>
    <w:next w:val="Normalny"/>
    <w:autoRedefine/>
    <w:uiPriority w:val="39"/>
    <w:unhideWhenUsed/>
    <w:rsid w:val="00A167AA"/>
    <w:pPr>
      <w:spacing w:after="100"/>
      <w:ind w:left="480"/>
    </w:pPr>
  </w:style>
  <w:style w:type="character" w:styleId="Odwoaniedokomentarza">
    <w:name w:val="annotation reference"/>
    <w:uiPriority w:val="99"/>
    <w:semiHidden/>
    <w:unhideWhenUsed/>
    <w:rsid w:val="00A167AA"/>
    <w:rPr>
      <w:sz w:val="16"/>
      <w:szCs w:val="16"/>
    </w:rPr>
  </w:style>
  <w:style w:type="character" w:customStyle="1" w:styleId="tabulatory1">
    <w:name w:val="tabulatory1"/>
    <w:basedOn w:val="Domylnaczcionkaakapitu"/>
    <w:rsid w:val="00A167AA"/>
  </w:style>
  <w:style w:type="character" w:customStyle="1" w:styleId="txt-new1">
    <w:name w:val="txt-new1"/>
    <w:rsid w:val="00A167AA"/>
    <w:rPr>
      <w:shd w:val="clear" w:color="auto" w:fill="auto"/>
    </w:rPr>
  </w:style>
  <w:style w:type="character" w:customStyle="1" w:styleId="luchili1">
    <w:name w:val="luc_hili1"/>
    <w:rsid w:val="00A167AA"/>
    <w:rPr>
      <w:shd w:val="clear" w:color="auto" w:fill="FFFF99"/>
    </w:rPr>
  </w:style>
  <w:style w:type="paragraph" w:styleId="Tekstdymka">
    <w:name w:val="Balloon Text"/>
    <w:basedOn w:val="Normalny"/>
    <w:link w:val="TekstdymkaZnak"/>
    <w:uiPriority w:val="99"/>
    <w:semiHidden/>
    <w:unhideWhenUsed/>
    <w:rsid w:val="00A167AA"/>
    <w:rPr>
      <w:rFonts w:ascii="Tahoma" w:hAnsi="Tahoma"/>
      <w:sz w:val="16"/>
      <w:szCs w:val="16"/>
      <w:lang w:val="x-none"/>
    </w:rPr>
  </w:style>
  <w:style w:type="character" w:customStyle="1" w:styleId="TekstdymkaZnak">
    <w:name w:val="Tekst dymka Znak"/>
    <w:link w:val="Tekstdymka"/>
    <w:uiPriority w:val="99"/>
    <w:semiHidden/>
    <w:rsid w:val="00A167AA"/>
    <w:rPr>
      <w:rFonts w:ascii="Tahoma" w:eastAsia="Times New Roman" w:hAnsi="Tahoma" w:cs="Tahoma"/>
      <w:sz w:val="16"/>
      <w:szCs w:val="16"/>
      <w:lang w:eastAsia="pl-PL"/>
    </w:rPr>
  </w:style>
  <w:style w:type="table" w:styleId="Tabela-Siatka">
    <w:name w:val="Table Grid"/>
    <w:basedOn w:val="Standardowy"/>
    <w:uiPriority w:val="59"/>
    <w:rsid w:val="00E42AE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3">
    <w:name w:val="Body Text 3"/>
    <w:basedOn w:val="Normalny"/>
    <w:link w:val="Tekstpodstawowy3Znak"/>
    <w:uiPriority w:val="99"/>
    <w:semiHidden/>
    <w:unhideWhenUsed/>
    <w:rsid w:val="00E42AEA"/>
    <w:pPr>
      <w:spacing w:after="120"/>
    </w:pPr>
    <w:rPr>
      <w:sz w:val="16"/>
      <w:szCs w:val="16"/>
      <w:lang w:val="x-none"/>
    </w:rPr>
  </w:style>
  <w:style w:type="character" w:customStyle="1" w:styleId="Tekstpodstawowy3Znak">
    <w:name w:val="Tekst podstawowy 3 Znak"/>
    <w:link w:val="Tekstpodstawowy3"/>
    <w:uiPriority w:val="99"/>
    <w:semiHidden/>
    <w:rsid w:val="00E42AEA"/>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210841"/>
    <w:pPr>
      <w:numPr>
        <w:ilvl w:val="0"/>
        <w:numId w:val="0"/>
      </w:numPr>
      <w:autoSpaceDE/>
      <w:autoSpaceDN/>
      <w:adjustRightInd/>
      <w:spacing w:line="240" w:lineRule="auto"/>
      <w:jc w:val="left"/>
    </w:pPr>
    <w:rPr>
      <w:b/>
      <w:bCs/>
    </w:rPr>
  </w:style>
  <w:style w:type="character" w:customStyle="1" w:styleId="TematkomentarzaZnak">
    <w:name w:val="Temat komentarza Znak"/>
    <w:link w:val="Tematkomentarza"/>
    <w:uiPriority w:val="99"/>
    <w:semiHidden/>
    <w:rsid w:val="00210841"/>
    <w:rPr>
      <w:rFonts w:ascii="Times New Roman" w:eastAsia="Times New Roman" w:hAnsi="Times New Roman" w:cs="Times New Roman"/>
      <w:b/>
      <w:bCs/>
      <w:snapToGrid w:val="0"/>
      <w:position w:val="-10"/>
      <w:sz w:val="24"/>
      <w:szCs w:val="24"/>
      <w:lang w:eastAsia="pl-PL"/>
    </w:rPr>
  </w:style>
  <w:style w:type="paragraph" w:styleId="Tekstprzypisudolnego">
    <w:name w:val="footnote text"/>
    <w:basedOn w:val="Normalny"/>
    <w:link w:val="TekstprzypisudolnegoZnak"/>
    <w:unhideWhenUsed/>
    <w:rsid w:val="00210841"/>
    <w:rPr>
      <w:sz w:val="20"/>
      <w:szCs w:val="20"/>
      <w:lang w:val="x-none" w:eastAsia="x-none"/>
    </w:rPr>
  </w:style>
  <w:style w:type="character" w:customStyle="1" w:styleId="TekstprzypisudolnegoZnak">
    <w:name w:val="Tekst przypisu dolnego Znak"/>
    <w:link w:val="Tekstprzypisudolnego"/>
    <w:rsid w:val="00210841"/>
    <w:rPr>
      <w:rFonts w:ascii="Times New Roman" w:eastAsia="Times New Roman" w:hAnsi="Times New Roman"/>
    </w:rPr>
  </w:style>
  <w:style w:type="character" w:styleId="Odwoanieprzypisudolnego">
    <w:name w:val="footnote reference"/>
    <w:unhideWhenUsed/>
    <w:rsid w:val="00210841"/>
    <w:rPr>
      <w:vertAlign w:val="superscript"/>
    </w:rPr>
  </w:style>
  <w:style w:type="paragraph" w:customStyle="1" w:styleId="Bezodstpw1">
    <w:name w:val="Bez odstępów1"/>
    <w:rsid w:val="0051723D"/>
    <w:rPr>
      <w:rFonts w:eastAsia="Times New Roman"/>
      <w:sz w:val="22"/>
      <w:szCs w:val="22"/>
      <w:lang w:eastAsia="en-US"/>
    </w:rPr>
  </w:style>
  <w:style w:type="paragraph" w:styleId="Tekstpodstawowy2">
    <w:name w:val="Body Text 2"/>
    <w:basedOn w:val="Normalny"/>
    <w:link w:val="Tekstpodstawowy2Znak"/>
    <w:rsid w:val="00F867B8"/>
    <w:pPr>
      <w:spacing w:after="120" w:line="480" w:lineRule="auto"/>
    </w:pPr>
    <w:rPr>
      <w:lang w:val="x-none" w:eastAsia="x-none"/>
    </w:rPr>
  </w:style>
  <w:style w:type="character" w:customStyle="1" w:styleId="Tekstpodstawowy2Znak">
    <w:name w:val="Tekst podstawowy 2 Znak"/>
    <w:link w:val="Tekstpodstawowy2"/>
    <w:rsid w:val="00F867B8"/>
    <w:rPr>
      <w:rFonts w:ascii="Times New Roman" w:eastAsia="Times New Roman" w:hAnsi="Times New Roman"/>
      <w:sz w:val="24"/>
      <w:szCs w:val="24"/>
    </w:rPr>
  </w:style>
  <w:style w:type="paragraph" w:customStyle="1" w:styleId="Default">
    <w:name w:val="Default"/>
    <w:rsid w:val="001D042E"/>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Bullets Znak"/>
    <w:link w:val="Akapitzlist"/>
    <w:uiPriority w:val="99"/>
    <w:rsid w:val="00732581"/>
    <w:rPr>
      <w:rFonts w:ascii="Times New Roman" w:eastAsia="Times New Roman" w:hAnsi="Times New Roman"/>
      <w:sz w:val="24"/>
      <w:szCs w:val="24"/>
    </w:rPr>
  </w:style>
  <w:style w:type="character" w:customStyle="1" w:styleId="Nagwek2Znak">
    <w:name w:val="Nagłówek 2 Znak"/>
    <w:link w:val="Nagwek2"/>
    <w:uiPriority w:val="9"/>
    <w:rsid w:val="007C6965"/>
    <w:rPr>
      <w:rFonts w:ascii="Times New Roman" w:eastAsia="Times New Roman" w:hAnsi="Times New Roman"/>
      <w:b/>
      <w:bCs/>
      <w:sz w:val="24"/>
      <w:szCs w:val="24"/>
    </w:rPr>
  </w:style>
  <w:style w:type="paragraph" w:styleId="Nagwekspisutreci">
    <w:name w:val="TOC Heading"/>
    <w:basedOn w:val="Nagwek1"/>
    <w:next w:val="Normalny"/>
    <w:uiPriority w:val="39"/>
    <w:unhideWhenUsed/>
    <w:qFormat/>
    <w:rsid w:val="007C6965"/>
    <w:pPr>
      <w:keepNext/>
      <w:keepLines/>
      <w:spacing w:before="240" w:after="0" w:line="259" w:lineRule="auto"/>
      <w:jc w:val="left"/>
      <w:outlineLvl w:val="9"/>
    </w:pPr>
    <w:rPr>
      <w:rFonts w:ascii="Calibri Light" w:hAnsi="Calibri Light"/>
      <w:b w:val="0"/>
      <w:bCs w:val="0"/>
      <w:color w:val="2F5496"/>
      <w:sz w:val="32"/>
      <w:szCs w:val="32"/>
    </w:rPr>
  </w:style>
  <w:style w:type="paragraph" w:styleId="Spistreci2">
    <w:name w:val="toc 2"/>
    <w:basedOn w:val="Normalny"/>
    <w:next w:val="Normalny"/>
    <w:autoRedefine/>
    <w:uiPriority w:val="39"/>
    <w:unhideWhenUsed/>
    <w:rsid w:val="007C6965"/>
    <w:pPr>
      <w:ind w:left="240"/>
    </w:pPr>
  </w:style>
  <w:style w:type="character" w:customStyle="1" w:styleId="Nierozpoznanawzmianka1">
    <w:name w:val="Nierozpoznana wzmianka1"/>
    <w:uiPriority w:val="99"/>
    <w:semiHidden/>
    <w:unhideWhenUsed/>
    <w:rsid w:val="00F9000C"/>
    <w:rPr>
      <w:color w:val="605E5C"/>
      <w:shd w:val="clear" w:color="auto" w:fill="E1DFDD"/>
    </w:rPr>
  </w:style>
  <w:style w:type="character" w:styleId="Pogrubienie">
    <w:name w:val="Strong"/>
    <w:uiPriority w:val="22"/>
    <w:qFormat/>
    <w:rsid w:val="00065A38"/>
    <w:rPr>
      <w:b/>
      <w:bCs/>
    </w:rPr>
  </w:style>
  <w:style w:type="paragraph" w:customStyle="1" w:styleId="Datedadoption">
    <w:name w:val="Date d'adoption"/>
    <w:basedOn w:val="Normalny"/>
    <w:next w:val="Normalny"/>
    <w:rsid w:val="00A42A30"/>
    <w:pPr>
      <w:spacing w:before="360"/>
      <w:jc w:val="center"/>
    </w:pPr>
    <w:rPr>
      <w:rFonts w:eastAsia="Calibri"/>
      <w:b/>
      <w:szCs w:val="22"/>
      <w:lang w:eastAsia="en-US"/>
    </w:rPr>
  </w:style>
  <w:style w:type="paragraph" w:customStyle="1" w:styleId="Typedudocument">
    <w:name w:val="Type du document"/>
    <w:basedOn w:val="Normalny"/>
    <w:next w:val="Normalny"/>
    <w:rsid w:val="00A42A30"/>
    <w:pPr>
      <w:spacing w:before="360"/>
      <w:jc w:val="center"/>
    </w:pPr>
    <w:rPr>
      <w:rFonts w:eastAsia="Calibri"/>
      <w:b/>
      <w:szCs w:val="22"/>
      <w:lang w:eastAsia="en-US"/>
    </w:rPr>
  </w:style>
  <w:style w:type="character" w:customStyle="1" w:styleId="Marker2">
    <w:name w:val="Marker2"/>
    <w:rsid w:val="00A42A30"/>
    <w:rPr>
      <w:color w:val="FF0000"/>
    </w:rPr>
  </w:style>
  <w:style w:type="paragraph" w:styleId="Poprawka">
    <w:name w:val="Revision"/>
    <w:hidden/>
    <w:uiPriority w:val="99"/>
    <w:semiHidden/>
    <w:rsid w:val="000152D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49751">
      <w:bodyDiv w:val="1"/>
      <w:marLeft w:val="0"/>
      <w:marRight w:val="0"/>
      <w:marTop w:val="0"/>
      <w:marBottom w:val="0"/>
      <w:divBdr>
        <w:top w:val="none" w:sz="0" w:space="0" w:color="auto"/>
        <w:left w:val="none" w:sz="0" w:space="0" w:color="auto"/>
        <w:bottom w:val="none" w:sz="0" w:space="0" w:color="auto"/>
        <w:right w:val="none" w:sz="0" w:space="0" w:color="auto"/>
      </w:divBdr>
    </w:div>
    <w:div w:id="971131337">
      <w:bodyDiv w:val="1"/>
      <w:marLeft w:val="0"/>
      <w:marRight w:val="0"/>
      <w:marTop w:val="0"/>
      <w:marBottom w:val="0"/>
      <w:divBdr>
        <w:top w:val="none" w:sz="0" w:space="0" w:color="auto"/>
        <w:left w:val="none" w:sz="0" w:space="0" w:color="auto"/>
        <w:bottom w:val="none" w:sz="0" w:space="0" w:color="auto"/>
        <w:right w:val="none" w:sz="0" w:space="0" w:color="auto"/>
      </w:divBdr>
    </w:div>
    <w:div w:id="17348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BCAE-6768-471D-81CD-4D2C2DE7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4138</Words>
  <Characters>24834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GBW S.A.</Company>
  <LinksUpToDate>false</LinksUpToDate>
  <CharactersWithSpaces>28915</CharactersWithSpaces>
  <SharedDoc>false</SharedDoc>
  <HLinks>
    <vt:vector size="84" baseType="variant">
      <vt:variant>
        <vt:i4>1966128</vt:i4>
      </vt:variant>
      <vt:variant>
        <vt:i4>80</vt:i4>
      </vt:variant>
      <vt:variant>
        <vt:i4>0</vt:i4>
      </vt:variant>
      <vt:variant>
        <vt:i4>5</vt:i4>
      </vt:variant>
      <vt:variant>
        <vt:lpwstr/>
      </vt:variant>
      <vt:variant>
        <vt:lpwstr>_Toc71277926</vt:lpwstr>
      </vt:variant>
      <vt:variant>
        <vt:i4>1900592</vt:i4>
      </vt:variant>
      <vt:variant>
        <vt:i4>74</vt:i4>
      </vt:variant>
      <vt:variant>
        <vt:i4>0</vt:i4>
      </vt:variant>
      <vt:variant>
        <vt:i4>5</vt:i4>
      </vt:variant>
      <vt:variant>
        <vt:lpwstr/>
      </vt:variant>
      <vt:variant>
        <vt:lpwstr>_Toc71277925</vt:lpwstr>
      </vt:variant>
      <vt:variant>
        <vt:i4>1835056</vt:i4>
      </vt:variant>
      <vt:variant>
        <vt:i4>68</vt:i4>
      </vt:variant>
      <vt:variant>
        <vt:i4>0</vt:i4>
      </vt:variant>
      <vt:variant>
        <vt:i4>5</vt:i4>
      </vt:variant>
      <vt:variant>
        <vt:lpwstr/>
      </vt:variant>
      <vt:variant>
        <vt:lpwstr>_Toc71277924</vt:lpwstr>
      </vt:variant>
      <vt:variant>
        <vt:i4>1769520</vt:i4>
      </vt:variant>
      <vt:variant>
        <vt:i4>62</vt:i4>
      </vt:variant>
      <vt:variant>
        <vt:i4>0</vt:i4>
      </vt:variant>
      <vt:variant>
        <vt:i4>5</vt:i4>
      </vt:variant>
      <vt:variant>
        <vt:lpwstr/>
      </vt:variant>
      <vt:variant>
        <vt:lpwstr>_Toc71277923</vt:lpwstr>
      </vt:variant>
      <vt:variant>
        <vt:i4>1703984</vt:i4>
      </vt:variant>
      <vt:variant>
        <vt:i4>56</vt:i4>
      </vt:variant>
      <vt:variant>
        <vt:i4>0</vt:i4>
      </vt:variant>
      <vt:variant>
        <vt:i4>5</vt:i4>
      </vt:variant>
      <vt:variant>
        <vt:lpwstr/>
      </vt:variant>
      <vt:variant>
        <vt:lpwstr>_Toc71277922</vt:lpwstr>
      </vt:variant>
      <vt:variant>
        <vt:i4>1638448</vt:i4>
      </vt:variant>
      <vt:variant>
        <vt:i4>50</vt:i4>
      </vt:variant>
      <vt:variant>
        <vt:i4>0</vt:i4>
      </vt:variant>
      <vt:variant>
        <vt:i4>5</vt:i4>
      </vt:variant>
      <vt:variant>
        <vt:lpwstr/>
      </vt:variant>
      <vt:variant>
        <vt:lpwstr>_Toc71277921</vt:lpwstr>
      </vt:variant>
      <vt:variant>
        <vt:i4>1572912</vt:i4>
      </vt:variant>
      <vt:variant>
        <vt:i4>44</vt:i4>
      </vt:variant>
      <vt:variant>
        <vt:i4>0</vt:i4>
      </vt:variant>
      <vt:variant>
        <vt:i4>5</vt:i4>
      </vt:variant>
      <vt:variant>
        <vt:lpwstr/>
      </vt:variant>
      <vt:variant>
        <vt:lpwstr>_Toc71277920</vt:lpwstr>
      </vt:variant>
      <vt:variant>
        <vt:i4>1114163</vt:i4>
      </vt:variant>
      <vt:variant>
        <vt:i4>38</vt:i4>
      </vt:variant>
      <vt:variant>
        <vt:i4>0</vt:i4>
      </vt:variant>
      <vt:variant>
        <vt:i4>5</vt:i4>
      </vt:variant>
      <vt:variant>
        <vt:lpwstr/>
      </vt:variant>
      <vt:variant>
        <vt:lpwstr>_Toc71277919</vt:lpwstr>
      </vt:variant>
      <vt:variant>
        <vt:i4>1048627</vt:i4>
      </vt:variant>
      <vt:variant>
        <vt:i4>32</vt:i4>
      </vt:variant>
      <vt:variant>
        <vt:i4>0</vt:i4>
      </vt:variant>
      <vt:variant>
        <vt:i4>5</vt:i4>
      </vt:variant>
      <vt:variant>
        <vt:lpwstr/>
      </vt:variant>
      <vt:variant>
        <vt:lpwstr>_Toc71277918</vt:lpwstr>
      </vt:variant>
      <vt:variant>
        <vt:i4>2031667</vt:i4>
      </vt:variant>
      <vt:variant>
        <vt:i4>26</vt:i4>
      </vt:variant>
      <vt:variant>
        <vt:i4>0</vt:i4>
      </vt:variant>
      <vt:variant>
        <vt:i4>5</vt:i4>
      </vt:variant>
      <vt:variant>
        <vt:lpwstr/>
      </vt:variant>
      <vt:variant>
        <vt:lpwstr>_Toc71277917</vt:lpwstr>
      </vt:variant>
      <vt:variant>
        <vt:i4>1966131</vt:i4>
      </vt:variant>
      <vt:variant>
        <vt:i4>20</vt:i4>
      </vt:variant>
      <vt:variant>
        <vt:i4>0</vt:i4>
      </vt:variant>
      <vt:variant>
        <vt:i4>5</vt:i4>
      </vt:variant>
      <vt:variant>
        <vt:lpwstr/>
      </vt:variant>
      <vt:variant>
        <vt:lpwstr>_Toc71277916</vt:lpwstr>
      </vt:variant>
      <vt:variant>
        <vt:i4>1900595</vt:i4>
      </vt:variant>
      <vt:variant>
        <vt:i4>14</vt:i4>
      </vt:variant>
      <vt:variant>
        <vt:i4>0</vt:i4>
      </vt:variant>
      <vt:variant>
        <vt:i4>5</vt:i4>
      </vt:variant>
      <vt:variant>
        <vt:lpwstr/>
      </vt:variant>
      <vt:variant>
        <vt:lpwstr>_Toc71277915</vt:lpwstr>
      </vt:variant>
      <vt:variant>
        <vt:i4>1835059</vt:i4>
      </vt:variant>
      <vt:variant>
        <vt:i4>8</vt:i4>
      </vt:variant>
      <vt:variant>
        <vt:i4>0</vt:i4>
      </vt:variant>
      <vt:variant>
        <vt:i4>5</vt:i4>
      </vt:variant>
      <vt:variant>
        <vt:lpwstr/>
      </vt:variant>
      <vt:variant>
        <vt:lpwstr>_Toc71277914</vt:lpwstr>
      </vt:variant>
      <vt:variant>
        <vt:i4>1769523</vt:i4>
      </vt:variant>
      <vt:variant>
        <vt:i4>2</vt:i4>
      </vt:variant>
      <vt:variant>
        <vt:i4>0</vt:i4>
      </vt:variant>
      <vt:variant>
        <vt:i4>5</vt:i4>
      </vt:variant>
      <vt:variant>
        <vt:lpwstr/>
      </vt:variant>
      <vt:variant>
        <vt:lpwstr>_Toc71277913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dc:creator>
  <cp:keywords/>
  <cp:lastModifiedBy>Michał Lipiński</cp:lastModifiedBy>
  <cp:revision>5</cp:revision>
  <cp:lastPrinted>2016-11-24T13:16:00Z</cp:lastPrinted>
  <dcterms:created xsi:type="dcterms:W3CDTF">2025-04-17T10:09:00Z</dcterms:created>
  <dcterms:modified xsi:type="dcterms:W3CDTF">2025-05-13T09:56:00Z</dcterms:modified>
</cp:coreProperties>
</file>