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DDCF3" w14:textId="77777777" w:rsidR="004D3520" w:rsidRDefault="004D3520" w:rsidP="004D3520">
      <w:pPr>
        <w:pStyle w:val="Zwykytekst"/>
        <w:jc w:val="both"/>
        <w:rPr>
          <w:rFonts w:asciiTheme="minorHAnsi" w:hAnsiTheme="minorHAnsi" w:cstheme="minorHAnsi"/>
          <w:b/>
          <w:bCs/>
          <w:sz w:val="28"/>
          <w:szCs w:val="28"/>
        </w:rPr>
      </w:pPr>
    </w:p>
    <w:p w14:paraId="06960BCA" w14:textId="25F1D477" w:rsidR="004D3520" w:rsidRPr="00E75658" w:rsidRDefault="00FC2237" w:rsidP="004D3520">
      <w:pPr>
        <w:pStyle w:val="Zwykytekst"/>
        <w:jc w:val="both"/>
        <w:rPr>
          <w:rFonts w:asciiTheme="minorHAnsi" w:hAnsiTheme="minorHAnsi" w:cstheme="minorHAnsi"/>
          <w:b/>
          <w:bCs/>
          <w:sz w:val="28"/>
          <w:szCs w:val="28"/>
        </w:rPr>
      </w:pPr>
      <w:r>
        <w:rPr>
          <w:rFonts w:asciiTheme="minorHAnsi" w:hAnsiTheme="minorHAnsi" w:cstheme="minorHAnsi"/>
          <w:b/>
          <w:bCs/>
          <w:sz w:val="28"/>
          <w:szCs w:val="28"/>
        </w:rPr>
        <w:t>O</w:t>
      </w:r>
      <w:r w:rsidR="004D3520" w:rsidRPr="00E75658">
        <w:rPr>
          <w:rFonts w:asciiTheme="minorHAnsi" w:hAnsiTheme="minorHAnsi" w:cstheme="minorHAnsi"/>
          <w:b/>
          <w:bCs/>
          <w:sz w:val="28"/>
          <w:szCs w:val="28"/>
        </w:rPr>
        <w:t>dpowiedzi na najczęściej zadawane pytania, które pojawia</w:t>
      </w:r>
      <w:r>
        <w:rPr>
          <w:rFonts w:asciiTheme="minorHAnsi" w:hAnsiTheme="minorHAnsi" w:cstheme="minorHAnsi"/>
          <w:b/>
          <w:bCs/>
          <w:sz w:val="28"/>
          <w:szCs w:val="28"/>
        </w:rPr>
        <w:t>ją</w:t>
      </w:r>
      <w:r w:rsidR="004D3520" w:rsidRPr="00E75658">
        <w:rPr>
          <w:rFonts w:asciiTheme="minorHAnsi" w:hAnsiTheme="minorHAnsi" w:cstheme="minorHAnsi"/>
          <w:b/>
          <w:bCs/>
          <w:sz w:val="28"/>
          <w:szCs w:val="28"/>
        </w:rPr>
        <w:t xml:space="preserve"> się </w:t>
      </w:r>
      <w:r w:rsidR="004D3520">
        <w:rPr>
          <w:rFonts w:asciiTheme="minorHAnsi" w:hAnsiTheme="minorHAnsi" w:cstheme="minorHAnsi"/>
          <w:b/>
          <w:bCs/>
          <w:sz w:val="28"/>
          <w:szCs w:val="28"/>
        </w:rPr>
        <w:t>podczas</w:t>
      </w:r>
      <w:r w:rsidR="004D3520" w:rsidRPr="00E75658">
        <w:rPr>
          <w:rFonts w:asciiTheme="minorHAnsi" w:hAnsiTheme="minorHAnsi" w:cstheme="minorHAnsi"/>
          <w:b/>
          <w:bCs/>
          <w:sz w:val="28"/>
          <w:szCs w:val="28"/>
        </w:rPr>
        <w:t xml:space="preserve"> wypełniania wniosku w ramach </w:t>
      </w:r>
      <w:r w:rsidR="004D3520">
        <w:rPr>
          <w:rFonts w:asciiTheme="minorHAnsi" w:hAnsiTheme="minorHAnsi" w:cstheme="minorHAnsi"/>
          <w:b/>
          <w:bCs/>
          <w:sz w:val="28"/>
          <w:szCs w:val="28"/>
        </w:rPr>
        <w:t>T</w:t>
      </w:r>
      <w:r w:rsidR="004D3520" w:rsidRPr="00E75658">
        <w:rPr>
          <w:rFonts w:asciiTheme="minorHAnsi" w:hAnsiTheme="minorHAnsi" w:cstheme="minorHAnsi"/>
          <w:b/>
          <w:bCs/>
          <w:sz w:val="28"/>
          <w:szCs w:val="28"/>
        </w:rPr>
        <w:t>a</w:t>
      </w:r>
      <w:r w:rsidR="004D3520">
        <w:rPr>
          <w:rFonts w:asciiTheme="minorHAnsi" w:hAnsiTheme="minorHAnsi" w:cstheme="minorHAnsi"/>
          <w:b/>
          <w:bCs/>
          <w:sz w:val="28"/>
          <w:szCs w:val="28"/>
        </w:rPr>
        <w:t>r</w:t>
      </w:r>
      <w:r w:rsidR="004D3520" w:rsidRPr="00E75658">
        <w:rPr>
          <w:rFonts w:asciiTheme="minorHAnsi" w:hAnsiTheme="minorHAnsi" w:cstheme="minorHAnsi"/>
          <w:b/>
          <w:bCs/>
          <w:sz w:val="28"/>
          <w:szCs w:val="28"/>
        </w:rPr>
        <w:t>czy finansowej PFR</w:t>
      </w:r>
    </w:p>
    <w:p w14:paraId="454EF2EA" w14:textId="77777777" w:rsidR="004D3520" w:rsidRDefault="004D3520" w:rsidP="004D3520">
      <w:pPr>
        <w:pStyle w:val="Zwykytekst"/>
        <w:jc w:val="both"/>
        <w:rPr>
          <w:rFonts w:asciiTheme="minorHAnsi" w:hAnsiTheme="minorHAnsi" w:cstheme="minorHAnsi"/>
          <w:b/>
          <w:bCs/>
        </w:rPr>
      </w:pPr>
    </w:p>
    <w:p w14:paraId="00C9CD22" w14:textId="77777777" w:rsidR="004D3520" w:rsidRDefault="004D3520" w:rsidP="004D3520">
      <w:pPr>
        <w:pStyle w:val="Zwykytekst"/>
        <w:jc w:val="both"/>
        <w:rPr>
          <w:rFonts w:asciiTheme="minorHAnsi" w:hAnsiTheme="minorHAnsi" w:cstheme="minorHAnsi"/>
          <w:b/>
          <w:bCs/>
        </w:rPr>
      </w:pPr>
      <w:r>
        <w:rPr>
          <w:rFonts w:asciiTheme="minorHAnsi" w:hAnsiTheme="minorHAnsi" w:cstheme="minorHAnsi"/>
          <w:b/>
          <w:bCs/>
        </w:rPr>
        <w:t xml:space="preserve">Więcej informacji, odpowiedz na inne pytania oraz regulamin </w:t>
      </w:r>
      <w:r w:rsidRPr="00E75658">
        <w:rPr>
          <w:rFonts w:asciiTheme="minorHAnsi" w:hAnsiTheme="minorHAnsi" w:cstheme="minorHAnsi"/>
          <w:b/>
          <w:bCs/>
        </w:rPr>
        <w:t>ubiegania się o subwencję z programu rządowego – Tarcza Finansowa Polskiego Funduszu Rozwoju dla Mikro, Małych i Średnich Firm</w:t>
      </w:r>
      <w:r>
        <w:rPr>
          <w:rFonts w:asciiTheme="minorHAnsi" w:hAnsiTheme="minorHAnsi" w:cstheme="minorHAnsi"/>
          <w:b/>
          <w:bCs/>
        </w:rPr>
        <w:t xml:space="preserve"> znajdą Państwo na stronie: </w:t>
      </w:r>
      <w:hyperlink r:id="rId8" w:history="1">
        <w:r w:rsidRPr="00C6014E">
          <w:rPr>
            <w:rStyle w:val="Hipercze"/>
            <w:rFonts w:asciiTheme="minorHAnsi" w:hAnsiTheme="minorHAnsi" w:cstheme="minorHAnsi"/>
            <w:b/>
            <w:bCs/>
          </w:rPr>
          <w:t>https://pfrsa.pl/tarcza-finansowa-pfr/tarcza-finansowa-pfr-dla-mmsp.html</w:t>
        </w:r>
      </w:hyperlink>
    </w:p>
    <w:p w14:paraId="58CF47D3" w14:textId="77777777" w:rsidR="004D3520" w:rsidRDefault="004D3520" w:rsidP="004D3520">
      <w:pPr>
        <w:pStyle w:val="Zwykytekst"/>
        <w:jc w:val="both"/>
        <w:rPr>
          <w:rFonts w:asciiTheme="minorHAnsi" w:hAnsiTheme="minorHAnsi" w:cstheme="minorBidi"/>
        </w:rPr>
      </w:pPr>
    </w:p>
    <w:p w14:paraId="23034585" w14:textId="77777777" w:rsidR="004D3520" w:rsidRPr="000B7B5C" w:rsidRDefault="004D3520" w:rsidP="004D3520">
      <w:pPr>
        <w:pStyle w:val="Zwykytekst"/>
        <w:ind w:left="720"/>
        <w:jc w:val="both"/>
        <w:rPr>
          <w:rFonts w:asciiTheme="minorHAnsi" w:hAnsiTheme="minorHAnsi" w:cstheme="minorHAnsi"/>
        </w:rPr>
      </w:pPr>
    </w:p>
    <w:p w14:paraId="305F8811" w14:textId="70658BC5" w:rsidR="004D3520" w:rsidRPr="000B7B5C" w:rsidRDefault="004D3520" w:rsidP="000B7B5C">
      <w:pPr>
        <w:pStyle w:val="Zwykytekst"/>
        <w:numPr>
          <w:ilvl w:val="0"/>
          <w:numId w:val="28"/>
        </w:numPr>
        <w:spacing w:before="100" w:beforeAutospacing="1" w:after="120"/>
        <w:jc w:val="both"/>
        <w:rPr>
          <w:rFonts w:asciiTheme="minorHAnsi" w:hAnsiTheme="minorHAnsi" w:cstheme="minorHAnsi"/>
          <w:b/>
          <w:bCs/>
        </w:rPr>
      </w:pPr>
      <w:r w:rsidRPr="000B7B5C">
        <w:rPr>
          <w:rFonts w:asciiTheme="minorHAnsi" w:hAnsiTheme="minorHAnsi" w:cstheme="minorHAnsi"/>
          <w:b/>
          <w:bCs/>
        </w:rPr>
        <w:t>Czy w ramach ubiegania się o subwencję mogę wskazać luty 2020r. jako miesiąc spadku obrotów gospodarczych?</w:t>
      </w:r>
    </w:p>
    <w:p w14:paraId="5BF3BBCE" w14:textId="77777777" w:rsidR="004D3520" w:rsidRPr="000B7B5C" w:rsidRDefault="004D3520" w:rsidP="000B7B5C">
      <w:pPr>
        <w:spacing w:before="100" w:beforeAutospacing="1" w:after="120"/>
        <w:jc w:val="both"/>
        <w:rPr>
          <w:rFonts w:cstheme="minorHAnsi"/>
          <w:color w:val="000000"/>
        </w:rPr>
      </w:pPr>
      <w:r w:rsidRPr="000B7B5C">
        <w:rPr>
          <w:rFonts w:cstheme="minorHAnsi"/>
          <w:color w:val="000000"/>
        </w:rPr>
        <w:t xml:space="preserve">Nie. Wielkość spadku przychodów ze sprzedaży należy ustalać dla dowolnego miesiąca po 1 lutego 2020 r. w porównaniu do poprzedniego miesiąca lub analogicznego miesiąca ubiegłego roku w związku z zakłóceniami gospodarki na skutek COVID-19. Pierwszym miesiącem po 1 lutego 2020 r. jest marzec 2020 r. W konsekwencji do końca kwietnia, jako pierwszy miesiąc, w którym przedsiębiorca odnotował spadek przychodów ze sprzedaży, powinien zostać wskazany marzec 2020 r. </w:t>
      </w:r>
    </w:p>
    <w:p w14:paraId="3078C08D" w14:textId="77777777" w:rsidR="004D3520" w:rsidRPr="000B7B5C" w:rsidRDefault="004D3520" w:rsidP="000B7B5C">
      <w:pPr>
        <w:spacing w:before="100" w:beforeAutospacing="1" w:after="120"/>
        <w:jc w:val="both"/>
        <w:rPr>
          <w:rFonts w:cstheme="minorHAnsi"/>
          <w:color w:val="000000"/>
        </w:rPr>
      </w:pPr>
      <w:r w:rsidRPr="000B7B5C">
        <w:rPr>
          <w:rFonts w:cstheme="minorHAnsi"/>
          <w:color w:val="000000"/>
        </w:rPr>
        <w:t>Spadek przychodów ze sprzedaży w marcu 2020 r. należy porównać do przychodów ze sprzedaży w lutym 2020 r. Alternatywnie, spadek przychodów ze sprzedaży w marcu 2020 r. może zostać porównany do przychodów ze sprzedaży z marca 2019 r. Dalej – spadek przychodów ze sprzedaży w kwietniu 2020 r. może zostać porównany do przychodów ze sprzedaży w marcu 2020 r. albo kwietniu 2019 r. (wedle wyboru przedsiębiorcy).</w:t>
      </w:r>
    </w:p>
    <w:p w14:paraId="237FBE96" w14:textId="77777777" w:rsidR="004D3520" w:rsidRPr="000B7B5C" w:rsidRDefault="004D3520" w:rsidP="000B7B5C">
      <w:pPr>
        <w:pStyle w:val="NormalnyWeb"/>
        <w:numPr>
          <w:ilvl w:val="0"/>
          <w:numId w:val="28"/>
        </w:numPr>
        <w:spacing w:after="120" w:afterAutospacing="0"/>
        <w:jc w:val="both"/>
        <w:rPr>
          <w:rFonts w:asciiTheme="minorHAnsi" w:hAnsiTheme="minorHAnsi" w:cstheme="minorHAnsi"/>
          <w:sz w:val="22"/>
          <w:szCs w:val="22"/>
        </w:rPr>
      </w:pPr>
      <w:r w:rsidRPr="000B7B5C">
        <w:rPr>
          <w:rFonts w:asciiTheme="minorHAnsi" w:hAnsiTheme="minorHAnsi" w:cstheme="minorHAnsi"/>
          <w:b/>
          <w:bCs/>
          <w:sz w:val="22"/>
          <w:szCs w:val="22"/>
        </w:rPr>
        <w:t>Co będzie brane pod uwagę przy weryfikacji spadku obrotów ?</w:t>
      </w:r>
      <w:r w:rsidRPr="000B7B5C">
        <w:rPr>
          <w:rFonts w:asciiTheme="minorHAnsi" w:hAnsiTheme="minorHAnsi" w:cstheme="minorHAnsi"/>
          <w:sz w:val="22"/>
          <w:szCs w:val="22"/>
        </w:rPr>
        <w:t> </w:t>
      </w:r>
    </w:p>
    <w:p w14:paraId="76BF4067" w14:textId="77777777" w:rsidR="004D3520" w:rsidRPr="000B7B5C" w:rsidRDefault="004D3520" w:rsidP="000B7B5C">
      <w:pPr>
        <w:pStyle w:val="NormalnyWeb"/>
        <w:spacing w:after="120" w:afterAutospacing="0"/>
        <w:jc w:val="both"/>
        <w:rPr>
          <w:rFonts w:asciiTheme="minorHAnsi" w:hAnsiTheme="minorHAnsi" w:cstheme="minorHAnsi"/>
          <w:sz w:val="22"/>
          <w:szCs w:val="22"/>
        </w:rPr>
      </w:pPr>
      <w:r w:rsidRPr="000B7B5C">
        <w:rPr>
          <w:rFonts w:asciiTheme="minorHAnsi" w:hAnsiTheme="minorHAnsi" w:cstheme="minorBidi"/>
          <w:sz w:val="22"/>
          <w:szCs w:val="22"/>
        </w:rPr>
        <w:t>Weryfikacja spadków obrotów będzie odbywała się na podstawie deklaracji VAT-7 (w przypadku podmiotów rozliczających się miesięcznie), VAT_JPK (w przypadku podmiotów rozliczających się kwartalnie) oraz oświadczenia zawartego w umowie subwencji składanego z uwzględnieniem dostępnych dokumentów księgowych, w tym RZIS (w przypadku podmiotów nie rozliczających podatku VAT.</w:t>
      </w:r>
    </w:p>
    <w:p w14:paraId="2216AD4D" w14:textId="77777777" w:rsidR="004D3520" w:rsidRPr="000B7B5C" w:rsidRDefault="004D3520" w:rsidP="000B7B5C">
      <w:pPr>
        <w:pStyle w:val="Zwykytekst"/>
        <w:numPr>
          <w:ilvl w:val="0"/>
          <w:numId w:val="28"/>
        </w:numPr>
        <w:spacing w:before="100" w:beforeAutospacing="1" w:after="120"/>
        <w:jc w:val="both"/>
        <w:rPr>
          <w:rFonts w:asciiTheme="minorHAnsi" w:hAnsiTheme="minorHAnsi" w:cstheme="minorBidi"/>
        </w:rPr>
      </w:pPr>
      <w:r w:rsidRPr="000B7B5C">
        <w:rPr>
          <w:rFonts w:asciiTheme="minorHAnsi" w:hAnsiTheme="minorHAnsi" w:cstheme="minorBidi"/>
          <w:b/>
          <w:bCs/>
        </w:rPr>
        <w:t>Czy dane wprowadzane we wniosku o przyznanie pomocy są weryfikowane przez PFR?</w:t>
      </w:r>
    </w:p>
    <w:p w14:paraId="2167011B" w14:textId="77777777" w:rsidR="004D3520" w:rsidRPr="000B7B5C" w:rsidRDefault="004D3520" w:rsidP="000B7B5C">
      <w:pPr>
        <w:spacing w:before="100" w:beforeAutospacing="1" w:after="120"/>
        <w:jc w:val="both"/>
        <w:rPr>
          <w:rFonts w:cstheme="minorHAnsi"/>
          <w:color w:val="000000"/>
        </w:rPr>
      </w:pPr>
      <w:r w:rsidRPr="000B7B5C">
        <w:rPr>
          <w:rFonts w:cstheme="minorHAnsi"/>
          <w:color w:val="000000"/>
        </w:rPr>
        <w:t xml:space="preserve">Tak. Są weryfikowane na podstawie danych z rejestrów publicznych. Na tej podstawie podejmowana jest decyzja odnośnie przyznania subwencji. </w:t>
      </w:r>
    </w:p>
    <w:p w14:paraId="07A22B6C" w14:textId="77777777" w:rsidR="004D3520" w:rsidRPr="000B7B5C" w:rsidRDefault="004D3520" w:rsidP="000B7B5C">
      <w:pPr>
        <w:pStyle w:val="Zwykytekst"/>
        <w:spacing w:before="100" w:beforeAutospacing="1" w:after="120"/>
        <w:jc w:val="both"/>
        <w:rPr>
          <w:rFonts w:asciiTheme="minorHAnsi" w:hAnsiTheme="minorHAnsi" w:cstheme="minorHAnsi"/>
          <w:color w:val="000000"/>
        </w:rPr>
      </w:pPr>
      <w:r w:rsidRPr="000B7B5C">
        <w:rPr>
          <w:rFonts w:asciiTheme="minorHAnsi" w:hAnsiTheme="minorHAnsi" w:cstheme="minorHAnsi"/>
          <w:color w:val="000000"/>
        </w:rPr>
        <w:t>Dlatego niezwykle ważne jest, aby przedsiębiorca złożył odpowiednio wcześniej np. deklarację VAT  za miesiąc, dla którego przedsiębiorca wykazuje spadek obrotów, aby uniknąć odrzucenia wniosku.</w:t>
      </w:r>
    </w:p>
    <w:p w14:paraId="0E05351C" w14:textId="77777777" w:rsidR="004D3520" w:rsidRPr="000B7B5C" w:rsidRDefault="004D3520" w:rsidP="000B7B5C">
      <w:pPr>
        <w:pStyle w:val="Zwykytekst"/>
        <w:spacing w:before="100" w:beforeAutospacing="1" w:after="120"/>
        <w:jc w:val="both"/>
        <w:rPr>
          <w:rFonts w:asciiTheme="minorHAnsi" w:hAnsiTheme="minorHAnsi" w:cstheme="minorHAnsi"/>
          <w:color w:val="000000"/>
        </w:rPr>
      </w:pPr>
      <w:r w:rsidRPr="000B7B5C">
        <w:rPr>
          <w:rFonts w:asciiTheme="minorHAnsi" w:hAnsiTheme="minorHAnsi" w:cstheme="minorHAnsi"/>
          <w:color w:val="000000"/>
        </w:rPr>
        <w:t xml:space="preserve">Przed złożeniem wniosku o subwencję należy sprawdzić, czy od skutecznego złożenia deklaracji VAT-7 we właściwym Urzędzie Skarbowym minęły co najmniej 4 dni kalendarzowe, a w przypadku podatników rozliczających się kwartalnie z VAT, co najmniej 7 dni kalendarzowych od złożenia JPK_VAT. </w:t>
      </w:r>
    </w:p>
    <w:p w14:paraId="78D31A0E" w14:textId="77777777" w:rsidR="004D3520" w:rsidRPr="000B7B5C" w:rsidRDefault="004D3520" w:rsidP="000B7B5C">
      <w:pPr>
        <w:pStyle w:val="Zwykytekst"/>
        <w:spacing w:before="100" w:beforeAutospacing="1" w:after="120"/>
        <w:jc w:val="both"/>
        <w:rPr>
          <w:rFonts w:asciiTheme="minorHAnsi" w:hAnsiTheme="minorHAnsi" w:cstheme="minorHAnsi"/>
          <w:color w:val="000000"/>
        </w:rPr>
      </w:pPr>
    </w:p>
    <w:p w14:paraId="4CCAF5BA" w14:textId="26F94C23" w:rsidR="004D3520" w:rsidRPr="000B7B5C" w:rsidRDefault="004D3520" w:rsidP="000B7B5C">
      <w:pPr>
        <w:pStyle w:val="Zwykytekst"/>
        <w:spacing w:before="100" w:beforeAutospacing="1" w:after="120"/>
        <w:jc w:val="both"/>
        <w:rPr>
          <w:rFonts w:asciiTheme="minorHAnsi" w:hAnsiTheme="minorHAnsi" w:cstheme="minorHAnsi"/>
          <w:color w:val="000000"/>
        </w:rPr>
      </w:pPr>
      <w:r w:rsidRPr="000B7B5C">
        <w:rPr>
          <w:rFonts w:asciiTheme="minorHAnsi" w:hAnsiTheme="minorHAnsi" w:cstheme="minorHAnsi"/>
          <w:color w:val="000000"/>
        </w:rPr>
        <w:lastRenderedPageBreak/>
        <w:t>Proces walidacji wniosków wymaga przetworzenia danych w rejestrach publicznych. Złożenie wniosku o subwencję wcześniej rodzi ryzyko jego odrzucenia przez PFR.</w:t>
      </w:r>
    </w:p>
    <w:p w14:paraId="74032402" w14:textId="3830037D" w:rsidR="004D3520" w:rsidRPr="000B7B5C" w:rsidRDefault="004D3520" w:rsidP="000B7B5C">
      <w:pPr>
        <w:pStyle w:val="Akapitzlist"/>
        <w:widowControl w:val="0"/>
        <w:numPr>
          <w:ilvl w:val="0"/>
          <w:numId w:val="28"/>
        </w:numPr>
        <w:autoSpaceDE w:val="0"/>
        <w:autoSpaceDN w:val="0"/>
        <w:spacing w:before="100" w:beforeAutospacing="1" w:after="120" w:line="240" w:lineRule="auto"/>
        <w:contextualSpacing w:val="0"/>
        <w:jc w:val="both"/>
        <w:rPr>
          <w:b/>
          <w:bCs/>
        </w:rPr>
      </w:pPr>
      <w:r w:rsidRPr="000B7B5C">
        <w:rPr>
          <w:b/>
          <w:bCs/>
        </w:rPr>
        <w:t>Ja obliczać stan zatrudnienia, który należy podać we wniosku o przyznanie subwencji ?</w:t>
      </w:r>
    </w:p>
    <w:p w14:paraId="2BBA433F" w14:textId="2502AD9A" w:rsidR="004D3520" w:rsidRPr="000B7B5C" w:rsidRDefault="004D3520" w:rsidP="000B7B5C">
      <w:pPr>
        <w:spacing w:before="100" w:beforeAutospacing="1" w:after="120" w:line="240" w:lineRule="auto"/>
        <w:jc w:val="both"/>
        <w:rPr>
          <w:rFonts w:cstheme="minorHAnsi"/>
          <w:color w:val="000000"/>
        </w:rPr>
      </w:pPr>
      <w:r w:rsidRPr="000B7B5C">
        <w:rPr>
          <w:rFonts w:cstheme="minorHAnsi"/>
          <w:color w:val="000000"/>
        </w:rPr>
        <w:t xml:space="preserve">Przedsiębiorca wnioskujący o udzielenie subwencji finansowej będący </w:t>
      </w:r>
      <w:proofErr w:type="spellStart"/>
      <w:r w:rsidRPr="000B7B5C">
        <w:rPr>
          <w:rFonts w:cstheme="minorHAnsi"/>
          <w:b/>
          <w:bCs/>
          <w:color w:val="000000"/>
        </w:rPr>
        <w:t>Mikrof</w:t>
      </w:r>
      <w:r w:rsidR="000B7B5C" w:rsidRPr="000B7B5C">
        <w:rPr>
          <w:rFonts w:cstheme="minorHAnsi"/>
          <w:b/>
          <w:bCs/>
          <w:color w:val="000000"/>
        </w:rPr>
        <w:t>i</w:t>
      </w:r>
      <w:r w:rsidRPr="000B7B5C">
        <w:rPr>
          <w:rFonts w:cstheme="minorHAnsi"/>
          <w:b/>
          <w:bCs/>
          <w:color w:val="000000"/>
        </w:rPr>
        <w:t>rmą</w:t>
      </w:r>
      <w:proofErr w:type="spellEnd"/>
      <w:r w:rsidRPr="000B7B5C">
        <w:rPr>
          <w:rFonts w:cstheme="minorHAnsi"/>
          <w:b/>
          <w:bCs/>
          <w:color w:val="000000"/>
        </w:rPr>
        <w:t xml:space="preserve"> </w:t>
      </w:r>
      <w:r w:rsidRPr="000B7B5C">
        <w:rPr>
          <w:rFonts w:cstheme="minorHAnsi"/>
          <w:color w:val="000000"/>
        </w:rPr>
        <w:t>we wniosku o przyznanie subwencji będzie musiał oświadczyć jaką liczbę osób zatrudniał:</w:t>
      </w:r>
    </w:p>
    <w:p w14:paraId="23B29DC2" w14:textId="77777777" w:rsidR="004D3520" w:rsidRPr="000B7B5C" w:rsidRDefault="004D3520" w:rsidP="000B7B5C">
      <w:pPr>
        <w:pStyle w:val="Akapitzlist"/>
        <w:widowControl w:val="0"/>
        <w:numPr>
          <w:ilvl w:val="0"/>
          <w:numId w:val="24"/>
        </w:numPr>
        <w:autoSpaceDE w:val="0"/>
        <w:autoSpaceDN w:val="0"/>
        <w:spacing w:before="100" w:beforeAutospacing="1" w:after="120" w:line="240" w:lineRule="auto"/>
        <w:contextualSpacing w:val="0"/>
        <w:jc w:val="both"/>
        <w:rPr>
          <w:rFonts w:cstheme="minorHAnsi"/>
          <w:color w:val="000000"/>
        </w:rPr>
      </w:pPr>
      <w:r w:rsidRPr="000B7B5C">
        <w:rPr>
          <w:rFonts w:cstheme="minorHAnsi"/>
          <w:color w:val="000000"/>
        </w:rPr>
        <w:t>na ostatni dzień miesiąca poprzedzającego miesiąc złożenia wniosku;</w:t>
      </w:r>
    </w:p>
    <w:p w14:paraId="165AD519" w14:textId="77777777" w:rsidR="004D3520" w:rsidRPr="000B7B5C" w:rsidRDefault="004D3520" w:rsidP="000B7B5C">
      <w:pPr>
        <w:pStyle w:val="Akapitzlist"/>
        <w:widowControl w:val="0"/>
        <w:numPr>
          <w:ilvl w:val="0"/>
          <w:numId w:val="24"/>
        </w:numPr>
        <w:autoSpaceDE w:val="0"/>
        <w:autoSpaceDN w:val="0"/>
        <w:spacing w:before="100" w:beforeAutospacing="1" w:after="120" w:line="240" w:lineRule="auto"/>
        <w:contextualSpacing w:val="0"/>
        <w:jc w:val="both"/>
        <w:rPr>
          <w:rFonts w:cstheme="minorHAnsi"/>
          <w:color w:val="000000"/>
        </w:rPr>
      </w:pPr>
      <w:r w:rsidRPr="000B7B5C">
        <w:rPr>
          <w:rFonts w:cstheme="minorHAnsi"/>
          <w:color w:val="000000"/>
        </w:rPr>
        <w:t>na dzień 31 grudnia 2019 r.;</w:t>
      </w:r>
    </w:p>
    <w:p w14:paraId="6C85197C" w14:textId="1D0BAD7B" w:rsidR="004D3520" w:rsidRPr="000B7B5C" w:rsidRDefault="004D3520" w:rsidP="000B7B5C">
      <w:pPr>
        <w:pStyle w:val="Akapitzlist"/>
        <w:widowControl w:val="0"/>
        <w:numPr>
          <w:ilvl w:val="0"/>
          <w:numId w:val="24"/>
        </w:numPr>
        <w:autoSpaceDE w:val="0"/>
        <w:autoSpaceDN w:val="0"/>
        <w:spacing w:before="100" w:beforeAutospacing="1" w:after="120" w:line="240" w:lineRule="auto"/>
        <w:contextualSpacing w:val="0"/>
        <w:jc w:val="both"/>
        <w:rPr>
          <w:rFonts w:cstheme="minorHAnsi"/>
          <w:color w:val="000000"/>
        </w:rPr>
      </w:pPr>
      <w:r w:rsidRPr="000B7B5C">
        <w:rPr>
          <w:rFonts w:cstheme="minorHAnsi"/>
          <w:color w:val="000000"/>
        </w:rPr>
        <w:t>na koniec miesiąca odpowiadającego nazwie miesiąca złożenia wniosku w roku poprzednim.</w:t>
      </w:r>
    </w:p>
    <w:p w14:paraId="492F96FE" w14:textId="77777777" w:rsidR="004D3520" w:rsidRPr="000B7B5C" w:rsidRDefault="004D3520" w:rsidP="000B7B5C">
      <w:pPr>
        <w:spacing w:before="100" w:beforeAutospacing="1" w:after="120"/>
        <w:jc w:val="both"/>
        <w:rPr>
          <w:rFonts w:cstheme="minorHAnsi"/>
          <w:color w:val="000000"/>
        </w:rPr>
      </w:pPr>
      <w:r w:rsidRPr="000B7B5C">
        <w:rPr>
          <w:rFonts w:cstheme="minorHAnsi"/>
          <w:color w:val="000000"/>
        </w:rPr>
        <w:t xml:space="preserve">Przedsiębiorca będący </w:t>
      </w:r>
      <w:r w:rsidRPr="000B7B5C">
        <w:rPr>
          <w:rFonts w:cstheme="minorHAnsi"/>
          <w:b/>
          <w:bCs/>
          <w:color w:val="000000"/>
        </w:rPr>
        <w:t xml:space="preserve">MŚP </w:t>
      </w:r>
      <w:r w:rsidRPr="000B7B5C">
        <w:rPr>
          <w:rFonts w:cstheme="minorHAnsi"/>
          <w:color w:val="000000"/>
        </w:rPr>
        <w:t>oświadczą o stanie zatrudnienia na ostatni dzień miesiąca poprzedzającego miesiąc złożenia wniosku.</w:t>
      </w:r>
    </w:p>
    <w:p w14:paraId="0E07EAF8" w14:textId="640B0EA4" w:rsidR="004D3520" w:rsidRPr="000B7B5C" w:rsidRDefault="004D3520" w:rsidP="000B7B5C">
      <w:pPr>
        <w:spacing w:before="100" w:beforeAutospacing="1" w:after="120" w:line="240" w:lineRule="auto"/>
        <w:jc w:val="both"/>
        <w:rPr>
          <w:rFonts w:cstheme="minorHAnsi"/>
          <w:color w:val="000000"/>
          <w:u w:val="single"/>
        </w:rPr>
      </w:pPr>
      <w:r w:rsidRPr="000B7B5C">
        <w:rPr>
          <w:rFonts w:cstheme="minorHAnsi"/>
          <w:color w:val="000000"/>
          <w:u w:val="single"/>
        </w:rPr>
        <w:t>Ważne: Jeśli liczba pracowników wyliczona dla tych pól we wniosku nie będzie liczbą całkowitą, należy zaokrąglić liczbę "w górę".</w:t>
      </w:r>
    </w:p>
    <w:p w14:paraId="60CDDE85" w14:textId="77777777" w:rsidR="004D3520" w:rsidRPr="000B7B5C" w:rsidRDefault="004D3520" w:rsidP="000B7B5C">
      <w:pPr>
        <w:spacing w:before="100" w:beforeAutospacing="1" w:after="120" w:line="240" w:lineRule="auto"/>
        <w:jc w:val="both"/>
        <w:rPr>
          <w:rFonts w:cstheme="minorHAnsi"/>
          <w:color w:val="000000"/>
        </w:rPr>
      </w:pPr>
      <w:r w:rsidRPr="000B7B5C">
        <w:rPr>
          <w:rFonts w:cstheme="minorHAnsi"/>
          <w:color w:val="000000"/>
        </w:rPr>
        <w:t xml:space="preserve">Dla określenia powyższego stanu zatrudnienia (zatrudnienie na potrzeby wyliczenia kwoty subwencji) przez pracownika należy rozumieć osobę fizyczną: </w:t>
      </w:r>
    </w:p>
    <w:p w14:paraId="54DE7785" w14:textId="77777777" w:rsidR="004D3520" w:rsidRPr="000B7B5C" w:rsidRDefault="004D3520" w:rsidP="000B7B5C">
      <w:pPr>
        <w:pStyle w:val="Akapitzlist"/>
        <w:widowControl w:val="0"/>
        <w:numPr>
          <w:ilvl w:val="0"/>
          <w:numId w:val="25"/>
        </w:numPr>
        <w:autoSpaceDE w:val="0"/>
        <w:autoSpaceDN w:val="0"/>
        <w:spacing w:before="100" w:beforeAutospacing="1" w:after="120" w:line="240" w:lineRule="auto"/>
        <w:contextualSpacing w:val="0"/>
        <w:jc w:val="both"/>
        <w:rPr>
          <w:rFonts w:cstheme="minorHAnsi"/>
          <w:color w:val="000000"/>
        </w:rPr>
      </w:pPr>
      <w:r w:rsidRPr="000B7B5C">
        <w:rPr>
          <w:rFonts w:cstheme="minorHAnsi"/>
          <w:color w:val="000000"/>
        </w:rPr>
        <w:t xml:space="preserve">która zgodnie z przepisami polskiego prawa pozostaje z przedsiębiorcą w stosunku pracy oraz została zgłoszona przez przedsiębiorcę do ubezpieczeń społecznych na dzień ustalenia stanu zatrudnienia przedsiębiorcy na potrzeby określenia kwoty subwencji finansowej, z zastrzeżeniem, że stan zatrudnienia określa się w przeliczeniu na pełny wymiar czasu pracy; oraz </w:t>
      </w:r>
    </w:p>
    <w:p w14:paraId="0006469E" w14:textId="0657076A" w:rsidR="004D3520" w:rsidRPr="000B7B5C" w:rsidRDefault="004D3520" w:rsidP="000B7B5C">
      <w:pPr>
        <w:pStyle w:val="Akapitzlist"/>
        <w:widowControl w:val="0"/>
        <w:numPr>
          <w:ilvl w:val="0"/>
          <w:numId w:val="25"/>
        </w:numPr>
        <w:autoSpaceDE w:val="0"/>
        <w:autoSpaceDN w:val="0"/>
        <w:spacing w:before="100" w:beforeAutospacing="1" w:after="120" w:line="240" w:lineRule="auto"/>
        <w:contextualSpacing w:val="0"/>
        <w:jc w:val="both"/>
        <w:rPr>
          <w:rFonts w:cstheme="minorHAnsi"/>
          <w:color w:val="000000"/>
        </w:rPr>
      </w:pPr>
      <w:r w:rsidRPr="000B7B5C">
        <w:rPr>
          <w:rFonts w:cstheme="minorHAnsi"/>
          <w:color w:val="000000"/>
        </w:rPr>
        <w:t>współpracująca z przedsiębiorcą, niezależnie od formy prawnej (w szczególności na podstawie umów cywilnoprawnych np. umowy zlecenia), która była zgłoszona przez przedsiębiorcę do ubezpieczeń społecznych, na dzień ustalania stanu zatrudnienia na potrzeby określenia kwoty subwencji finansowej.</w:t>
      </w:r>
    </w:p>
    <w:p w14:paraId="0BCFCBE1" w14:textId="77777777" w:rsidR="004D3520" w:rsidRPr="000B7B5C" w:rsidRDefault="004D3520" w:rsidP="000B7B5C">
      <w:pPr>
        <w:spacing w:before="100" w:beforeAutospacing="1" w:after="120"/>
        <w:jc w:val="both"/>
        <w:rPr>
          <w:rFonts w:cs="Segoe UI"/>
        </w:rPr>
      </w:pPr>
      <w:r w:rsidRPr="000B7B5C">
        <w:rPr>
          <w:color w:val="000000" w:themeColor="text1"/>
        </w:rPr>
        <w:t xml:space="preserve">Wyjaśnienie o szczegółowym sposobie ustalania stanu zatrudnienia znajdą Państwo tutaj: </w:t>
      </w:r>
      <w:hyperlink r:id="rId9" w:history="1">
        <w:r w:rsidRPr="000B7B5C">
          <w:rPr>
            <w:rStyle w:val="Hipercze"/>
            <w:rFonts w:cs="Segoe UI"/>
          </w:rPr>
          <w:t>https://pfrsa.pl/dam/jcr:997d60c7-2f85-493a-b79b-a66e32af04b5/tarcza-pfr-okreslanie-liczby-pracownikow.pdf</w:t>
        </w:r>
      </w:hyperlink>
    </w:p>
    <w:p w14:paraId="6B9A9E46" w14:textId="66352B36" w:rsidR="004D3520" w:rsidRPr="000B7B5C" w:rsidRDefault="004D3520" w:rsidP="000B7B5C">
      <w:pPr>
        <w:pStyle w:val="Akapitzlist"/>
        <w:widowControl w:val="0"/>
        <w:numPr>
          <w:ilvl w:val="0"/>
          <w:numId w:val="28"/>
        </w:numPr>
        <w:autoSpaceDE w:val="0"/>
        <w:autoSpaceDN w:val="0"/>
        <w:adjustRightInd w:val="0"/>
        <w:spacing w:before="100" w:beforeAutospacing="1" w:after="120" w:line="240" w:lineRule="auto"/>
        <w:jc w:val="both"/>
        <w:rPr>
          <w:b/>
          <w:bCs/>
          <w:color w:val="000000"/>
        </w:rPr>
      </w:pPr>
      <w:r w:rsidRPr="000B7B5C">
        <w:rPr>
          <w:b/>
          <w:bCs/>
          <w:color w:val="000000" w:themeColor="text1"/>
        </w:rPr>
        <w:t>Czy każdy może złożyć wniosek o subwencję w imieniu przedsiębiorcy?</w:t>
      </w:r>
    </w:p>
    <w:p w14:paraId="20C7A058" w14:textId="77777777" w:rsidR="000B7B5C" w:rsidRPr="000B7B5C" w:rsidRDefault="000B7B5C" w:rsidP="000B7B5C">
      <w:pPr>
        <w:pStyle w:val="Akapitzlist"/>
        <w:widowControl w:val="0"/>
        <w:autoSpaceDE w:val="0"/>
        <w:autoSpaceDN w:val="0"/>
        <w:adjustRightInd w:val="0"/>
        <w:spacing w:before="100" w:beforeAutospacing="1" w:after="120" w:line="240" w:lineRule="auto"/>
        <w:jc w:val="both"/>
        <w:rPr>
          <w:b/>
          <w:bCs/>
          <w:color w:val="000000"/>
        </w:rPr>
      </w:pPr>
    </w:p>
    <w:p w14:paraId="25B6D76C" w14:textId="77777777" w:rsidR="004D3520" w:rsidRPr="000B7B5C" w:rsidRDefault="004D3520" w:rsidP="000B7B5C">
      <w:pPr>
        <w:autoSpaceDE w:val="0"/>
        <w:autoSpaceDN w:val="0"/>
        <w:adjustRightInd w:val="0"/>
        <w:spacing w:before="100" w:beforeAutospacing="1" w:after="120" w:line="240" w:lineRule="auto"/>
        <w:jc w:val="both"/>
        <w:rPr>
          <w:rFonts w:cstheme="minorHAnsi"/>
          <w:color w:val="000000"/>
        </w:rPr>
      </w:pPr>
      <w:r w:rsidRPr="000B7B5C">
        <w:rPr>
          <w:rFonts w:cstheme="minorHAnsi"/>
          <w:color w:val="000000"/>
        </w:rPr>
        <w:t>Nie, wniosek o subwencję może zostać złożony przez:</w:t>
      </w:r>
    </w:p>
    <w:p w14:paraId="7273049A" w14:textId="77777777" w:rsidR="004D3520" w:rsidRPr="000B7B5C" w:rsidRDefault="004D3520" w:rsidP="000B7B5C">
      <w:pPr>
        <w:pStyle w:val="Akapitzlist"/>
        <w:numPr>
          <w:ilvl w:val="0"/>
          <w:numId w:val="26"/>
        </w:numPr>
        <w:autoSpaceDE w:val="0"/>
        <w:autoSpaceDN w:val="0"/>
        <w:adjustRightInd w:val="0"/>
        <w:spacing w:before="100" w:beforeAutospacing="1" w:after="120" w:line="240" w:lineRule="auto"/>
        <w:jc w:val="both"/>
        <w:rPr>
          <w:rFonts w:cstheme="minorHAnsi"/>
          <w:color w:val="000000"/>
        </w:rPr>
      </w:pPr>
      <w:r w:rsidRPr="000B7B5C">
        <w:rPr>
          <w:rFonts w:cstheme="minorHAnsi"/>
          <w:color w:val="000000"/>
        </w:rPr>
        <w:t>osobę upoważnioną przez przedsiębiorcę - taka osoba wcześniej powinna zostać upoważniona do złożenia wniosku i wymaganych oświadczeń na podstawie pełnomocnictwa. Wzór pełnomocnictwa stanowi Załącznik nr 2 do Regulaminu ubiegania się o udział w Programie Rządowym „Tarcza Finansowa Polskiego Funduszu Rozwoju dla Małych i Średnich Firm” lub</w:t>
      </w:r>
    </w:p>
    <w:p w14:paraId="418474E4" w14:textId="77777777" w:rsidR="004D3520" w:rsidRPr="000B7B5C" w:rsidRDefault="004D3520" w:rsidP="000B7B5C">
      <w:pPr>
        <w:pStyle w:val="Akapitzlist"/>
        <w:numPr>
          <w:ilvl w:val="0"/>
          <w:numId w:val="26"/>
        </w:numPr>
        <w:autoSpaceDE w:val="0"/>
        <w:autoSpaceDN w:val="0"/>
        <w:adjustRightInd w:val="0"/>
        <w:spacing w:before="100" w:beforeAutospacing="1" w:after="120" w:line="240" w:lineRule="auto"/>
        <w:jc w:val="both"/>
        <w:rPr>
          <w:rFonts w:cstheme="minorHAnsi"/>
          <w:color w:val="000000"/>
        </w:rPr>
      </w:pPr>
      <w:r w:rsidRPr="000B7B5C">
        <w:rPr>
          <w:rFonts w:cstheme="minorHAnsi"/>
        </w:rPr>
        <w:t>osobę uprawnioną do samodzielnej reprezentacji przedsiębiorcy, jak członek jego organu lub innego rodzaju przedstawiciel, którego dane są zamieszczone w Krajowym Rejestrze Sądowym lub w Centralnej Ewidencji i Informacji o Działalności Gospodarczej.</w:t>
      </w:r>
    </w:p>
    <w:p w14:paraId="11852CDE" w14:textId="77777777" w:rsidR="004D3520" w:rsidRPr="000B7B5C" w:rsidRDefault="004D3520" w:rsidP="000B7B5C">
      <w:pPr>
        <w:autoSpaceDE w:val="0"/>
        <w:autoSpaceDN w:val="0"/>
        <w:adjustRightInd w:val="0"/>
        <w:spacing w:before="100" w:beforeAutospacing="1" w:after="120" w:line="240" w:lineRule="auto"/>
        <w:jc w:val="both"/>
        <w:rPr>
          <w:rFonts w:cstheme="minorHAnsi"/>
          <w:color w:val="000000"/>
        </w:rPr>
      </w:pPr>
    </w:p>
    <w:p w14:paraId="3463E404" w14:textId="53C40EC6" w:rsidR="004D3520" w:rsidRPr="000B7B5C" w:rsidRDefault="004D3520" w:rsidP="000B7B5C">
      <w:pPr>
        <w:autoSpaceDE w:val="0"/>
        <w:autoSpaceDN w:val="0"/>
        <w:adjustRightInd w:val="0"/>
        <w:spacing w:before="100" w:beforeAutospacing="1" w:after="120" w:line="240" w:lineRule="auto"/>
        <w:jc w:val="both"/>
        <w:rPr>
          <w:rFonts w:cstheme="minorHAnsi"/>
          <w:color w:val="000000"/>
        </w:rPr>
      </w:pPr>
      <w:r w:rsidRPr="000B7B5C">
        <w:rPr>
          <w:rFonts w:cstheme="minorHAnsi"/>
          <w:color w:val="000000"/>
        </w:rPr>
        <w:t>Przedsiębiorca jest zobowiązany dostarczyć do banku nie później niż do 31 grudnia 2020 r. dokumenty m.in. potwierdzające, że osoba podpisująca i składająca wniosek była umocowana do jego złożenia (tj., w zależności od sytuacji: pełnomocnictwo, informację odpowiadającą odpisowi pełnemu z Krajowego Rejestru Sądowego lub wyciąg z Centralnej Ewidencji i Informacji o Działalności Gospodarczej).</w:t>
      </w:r>
    </w:p>
    <w:p w14:paraId="67766BF7" w14:textId="53009B52" w:rsidR="004D3520" w:rsidRPr="000B7B5C" w:rsidRDefault="004D3520" w:rsidP="000B7B5C">
      <w:pPr>
        <w:pStyle w:val="Default"/>
        <w:numPr>
          <w:ilvl w:val="0"/>
          <w:numId w:val="28"/>
        </w:numPr>
        <w:spacing w:before="100" w:beforeAutospacing="1" w:after="120"/>
        <w:jc w:val="both"/>
        <w:rPr>
          <w:rFonts w:asciiTheme="minorHAnsi" w:hAnsiTheme="minorHAnsi" w:cstheme="minorBidi"/>
          <w:b/>
          <w:bCs/>
          <w:sz w:val="22"/>
          <w:szCs w:val="22"/>
        </w:rPr>
      </w:pPr>
      <w:r w:rsidRPr="000B7B5C">
        <w:rPr>
          <w:rFonts w:asciiTheme="minorHAnsi" w:hAnsiTheme="minorHAnsi" w:cstheme="minorBidi"/>
          <w:b/>
          <w:bCs/>
          <w:sz w:val="22"/>
          <w:szCs w:val="22"/>
        </w:rPr>
        <w:t xml:space="preserve">Czy przedsiębiorca składający wniosek o subwencję powinien zadbać o wskazanie w nim prawidłowych informacji? </w:t>
      </w:r>
    </w:p>
    <w:p w14:paraId="6442D977" w14:textId="18207B8D" w:rsidR="004D3520" w:rsidRPr="000B7B5C" w:rsidRDefault="004D3520" w:rsidP="000B7B5C">
      <w:pPr>
        <w:pStyle w:val="Default"/>
        <w:spacing w:before="100" w:beforeAutospacing="1" w:after="120"/>
        <w:jc w:val="both"/>
        <w:rPr>
          <w:rFonts w:asciiTheme="minorHAnsi" w:hAnsiTheme="minorHAnsi" w:cstheme="minorHAnsi"/>
          <w:sz w:val="22"/>
          <w:szCs w:val="22"/>
        </w:rPr>
      </w:pPr>
      <w:r w:rsidRPr="000B7B5C">
        <w:rPr>
          <w:rFonts w:asciiTheme="minorHAnsi" w:hAnsiTheme="minorHAnsi" w:cstheme="minorHAnsi"/>
          <w:sz w:val="22"/>
          <w:szCs w:val="22"/>
        </w:rPr>
        <w:t xml:space="preserve">Tak, przedsiębiorca musi zadbać o to, aby wszystkie dane i oświadczenia wskazane we wniosku  o subwencję były zgodne z prawdą. Osoba składająca wniosek oświadcza w nim również, że jest świadoma odpowiedzialności karnej za przedstawienie fałszywych informacji oraz złożenie fałszywych oświadczeń w związku z procesem ubiegania się o subwencję. Prawidłowość informacji wskazanych we wniosku ma wpływ na czas realizacji wniosku. </w:t>
      </w:r>
    </w:p>
    <w:p w14:paraId="739D8604" w14:textId="77777777" w:rsidR="004D3520" w:rsidRPr="000B7B5C" w:rsidRDefault="004D3520" w:rsidP="000B7B5C">
      <w:pPr>
        <w:pStyle w:val="Akapitzlist"/>
        <w:spacing w:before="100" w:beforeAutospacing="1" w:after="120"/>
        <w:jc w:val="both"/>
        <w:rPr>
          <w:rFonts w:eastAsia="Times New Roman" w:cstheme="minorHAnsi"/>
          <w:lang w:eastAsia="pl-PL"/>
        </w:rPr>
      </w:pPr>
    </w:p>
    <w:p w14:paraId="6F361C76" w14:textId="15D80A0A" w:rsidR="000B7B5C" w:rsidRPr="000B7B5C" w:rsidRDefault="004D3520" w:rsidP="000B7B5C">
      <w:pPr>
        <w:pStyle w:val="Akapitzlist"/>
        <w:widowControl w:val="0"/>
        <w:numPr>
          <w:ilvl w:val="0"/>
          <w:numId w:val="28"/>
        </w:numPr>
        <w:autoSpaceDE w:val="0"/>
        <w:autoSpaceDN w:val="0"/>
        <w:spacing w:before="100" w:beforeAutospacing="1" w:after="120" w:line="240" w:lineRule="auto"/>
        <w:jc w:val="both"/>
        <w:rPr>
          <w:rFonts w:eastAsia="Times New Roman"/>
          <w:b/>
          <w:bCs/>
          <w:lang w:eastAsia="pl-PL"/>
        </w:rPr>
      </w:pPr>
      <w:r w:rsidRPr="000B7B5C">
        <w:rPr>
          <w:rFonts w:eastAsia="Times New Roman"/>
          <w:b/>
          <w:bCs/>
          <w:lang w:eastAsia="pl-PL"/>
        </w:rPr>
        <w:t>Czy subwencja udzielana w ramach Tarczy Finansowej może być kumulowana z inną pomocą publiczną?</w:t>
      </w:r>
    </w:p>
    <w:p w14:paraId="4BA91EEF" w14:textId="1C05D782" w:rsidR="004D3520" w:rsidRPr="000B7B5C" w:rsidRDefault="004D3520" w:rsidP="000B7B5C">
      <w:pPr>
        <w:spacing w:before="100" w:beforeAutospacing="1" w:after="120" w:line="240" w:lineRule="auto"/>
        <w:jc w:val="both"/>
        <w:rPr>
          <w:rFonts w:eastAsia="Times New Roman" w:cstheme="minorHAnsi"/>
          <w:lang w:eastAsia="pl-PL"/>
        </w:rPr>
      </w:pPr>
      <w:r w:rsidRPr="000B7B5C">
        <w:rPr>
          <w:rFonts w:eastAsia="Times New Roman" w:cstheme="minorHAnsi"/>
          <w:lang w:eastAsia="pl-PL"/>
        </w:rPr>
        <w:t xml:space="preserve">Pomoc publiczna udzielana w ramach Tarczy Finansowej może być kumulowana z pomocą publiczną z sekcji 3.1 Komunikatu Komisji Europejskiej do łącznego limitu nieprzekraczającego 800 tys. EUR. Zasady kumulacji z innymi rodzajami pomocy opisane są na stronie UOKIK. </w:t>
      </w:r>
    </w:p>
    <w:p w14:paraId="588BCC1D" w14:textId="0FAF9D13" w:rsidR="004D3520" w:rsidRPr="000B7B5C" w:rsidRDefault="004D3520" w:rsidP="000B7B5C">
      <w:pPr>
        <w:pStyle w:val="Akapitzlist"/>
        <w:widowControl w:val="0"/>
        <w:numPr>
          <w:ilvl w:val="0"/>
          <w:numId w:val="28"/>
        </w:numPr>
        <w:autoSpaceDE w:val="0"/>
        <w:autoSpaceDN w:val="0"/>
        <w:spacing w:before="100" w:beforeAutospacing="1" w:after="120" w:line="240" w:lineRule="auto"/>
        <w:contextualSpacing w:val="0"/>
        <w:jc w:val="both"/>
        <w:rPr>
          <w:rFonts w:eastAsia="Times New Roman"/>
          <w:lang w:eastAsia="pl-PL"/>
        </w:rPr>
      </w:pPr>
      <w:r w:rsidRPr="000B7B5C">
        <w:rPr>
          <w:b/>
          <w:bCs/>
        </w:rPr>
        <w:t xml:space="preserve">Czy na potrzeby weryfikacji statusu </w:t>
      </w:r>
      <w:proofErr w:type="spellStart"/>
      <w:r w:rsidRPr="000B7B5C">
        <w:rPr>
          <w:b/>
          <w:bCs/>
        </w:rPr>
        <w:t>mikrofirmy</w:t>
      </w:r>
      <w:proofErr w:type="spellEnd"/>
      <w:r w:rsidRPr="000B7B5C">
        <w:rPr>
          <w:b/>
          <w:bCs/>
        </w:rPr>
        <w:t xml:space="preserve"> oraz małej i średniej firmy należy uwzględnić wartość zatrudnienia, przychodów i sumy bilansowej właściciela i spółek zależnych wnioskodawcy?</w:t>
      </w:r>
    </w:p>
    <w:p w14:paraId="06224875" w14:textId="77777777" w:rsidR="004D3520" w:rsidRPr="000B7B5C" w:rsidRDefault="004D3520" w:rsidP="000B7B5C">
      <w:pPr>
        <w:spacing w:before="100" w:beforeAutospacing="1" w:after="120" w:line="288" w:lineRule="auto"/>
        <w:contextualSpacing/>
        <w:jc w:val="both"/>
        <w:rPr>
          <w:rFonts w:cstheme="minorHAnsi"/>
        </w:rPr>
      </w:pPr>
      <w:r w:rsidRPr="000B7B5C">
        <w:rPr>
          <w:rFonts w:cstheme="minorHAnsi"/>
        </w:rPr>
        <w:t xml:space="preserve">Kryterium skali zatrudnienia oraz skali finansowej odnosi się do przedsiębiorcy, z uwzględnieniem jego właściciela i spółek zależnych. </w:t>
      </w:r>
      <w:r w:rsidRPr="000B7B5C">
        <w:rPr>
          <w:rFonts w:cstheme="minorHAnsi"/>
          <w:color w:val="000000"/>
        </w:rPr>
        <w:t xml:space="preserve">Określając status </w:t>
      </w:r>
      <w:proofErr w:type="spellStart"/>
      <w:r w:rsidRPr="000B7B5C">
        <w:rPr>
          <w:rFonts w:cstheme="minorHAnsi"/>
          <w:color w:val="000000"/>
        </w:rPr>
        <w:t>mikrofirmy</w:t>
      </w:r>
      <w:proofErr w:type="spellEnd"/>
      <w:r w:rsidRPr="000B7B5C">
        <w:rPr>
          <w:rFonts w:cstheme="minorHAnsi"/>
          <w:color w:val="000000"/>
        </w:rPr>
        <w:t xml:space="preserve"> lub małej lub średniej firmy należy zweryfikować, czy zachodzą po jego stronie powiązania w ramach relacji łączących go z innymi przedsiębiorstwami (m.in. w ramach grup kapitałowych) i w razie konieczności sumować dane dotyczące przedsiębiorstw z nim powiązanych w następujący sposób: </w:t>
      </w:r>
    </w:p>
    <w:p w14:paraId="6C4274C3" w14:textId="77777777" w:rsidR="004D3520" w:rsidRPr="000B7B5C" w:rsidRDefault="004D3520" w:rsidP="000B7B5C">
      <w:pPr>
        <w:pStyle w:val="Akapitzlist"/>
        <w:numPr>
          <w:ilvl w:val="0"/>
          <w:numId w:val="27"/>
        </w:numPr>
        <w:autoSpaceDE w:val="0"/>
        <w:autoSpaceDN w:val="0"/>
        <w:adjustRightInd w:val="0"/>
        <w:spacing w:before="100" w:beforeAutospacing="1" w:after="120" w:line="240" w:lineRule="auto"/>
        <w:jc w:val="both"/>
        <w:rPr>
          <w:rFonts w:cstheme="minorHAnsi"/>
          <w:color w:val="000000"/>
        </w:rPr>
      </w:pPr>
      <w:r w:rsidRPr="000B7B5C">
        <w:rPr>
          <w:rFonts w:cstheme="minorHAnsi"/>
          <w:color w:val="000000"/>
        </w:rPr>
        <w:t xml:space="preserve">przypadku gdy dane przedsiębiorstwo posiada przedsiębiorstwa powiązane – do jego danych w zakresie liczby pracowników oraz rocznego obrotu i sumy bilansowej dolicza się w całości dane przedsiębiorstw powiązanych, </w:t>
      </w:r>
    </w:p>
    <w:p w14:paraId="4C8648E3" w14:textId="77777777" w:rsidR="004D3520" w:rsidRPr="000B7B5C" w:rsidRDefault="004D3520" w:rsidP="000B7B5C">
      <w:pPr>
        <w:pStyle w:val="Akapitzlist"/>
        <w:numPr>
          <w:ilvl w:val="0"/>
          <w:numId w:val="27"/>
        </w:numPr>
        <w:autoSpaceDE w:val="0"/>
        <w:autoSpaceDN w:val="0"/>
        <w:adjustRightInd w:val="0"/>
        <w:spacing w:before="100" w:beforeAutospacing="1" w:after="120" w:line="240" w:lineRule="auto"/>
        <w:jc w:val="both"/>
        <w:rPr>
          <w:rFonts w:cstheme="minorHAnsi"/>
          <w:color w:val="000000"/>
        </w:rPr>
      </w:pPr>
      <w:r w:rsidRPr="000B7B5C">
        <w:rPr>
          <w:rFonts w:cstheme="minorHAnsi"/>
          <w:color w:val="000000"/>
        </w:rPr>
        <w:t xml:space="preserve">przypadku gdy dane przedsiębiorstwo posiada przedsiębiorstwa partnerskie – do jego danych w zakresie liczby pracowników oraz rocznego obrotu i sumy bilansowej dolicza się dane przedsiębiorstw partnerskich proporcjonalnie do procentowego udziału w kapitale lub prawach głosu (z tym że należy wziąć pod uwagę wyższy udział) - nie dotyczy to publicznych korporacji inwestycyjnych, spółek venture </w:t>
      </w:r>
      <w:proofErr w:type="spellStart"/>
      <w:r w:rsidRPr="000B7B5C">
        <w:rPr>
          <w:rFonts w:cstheme="minorHAnsi"/>
          <w:color w:val="000000"/>
        </w:rPr>
        <w:t>capital</w:t>
      </w:r>
      <w:proofErr w:type="spellEnd"/>
      <w:r w:rsidRPr="000B7B5C">
        <w:rPr>
          <w:rFonts w:cstheme="minorHAnsi"/>
          <w:color w:val="000000"/>
        </w:rPr>
        <w:t xml:space="preserve">, osób fizycznych lub grupy osób fizycznych prowadzących regularną działalność inwestycyjną jako tzw. „anioły biznesu”, o ile całkowita kwota inwestycji tych inwestorów w jedno przedsiębiorstwo nie przekroczy 1 250 000 EUR; inwestorzy instytucjonalni, w tym fundusze rozwoju regionalnego. </w:t>
      </w:r>
    </w:p>
    <w:p w14:paraId="604234A9" w14:textId="5F29A9FB" w:rsidR="004D3520" w:rsidRPr="000B7B5C" w:rsidRDefault="004D3520" w:rsidP="000B7B5C">
      <w:pPr>
        <w:autoSpaceDE w:val="0"/>
        <w:autoSpaceDN w:val="0"/>
        <w:adjustRightInd w:val="0"/>
        <w:spacing w:before="100" w:beforeAutospacing="1" w:after="120" w:line="240" w:lineRule="auto"/>
        <w:jc w:val="both"/>
        <w:rPr>
          <w:rFonts w:cstheme="minorHAnsi"/>
          <w:color w:val="000000"/>
        </w:rPr>
      </w:pPr>
      <w:r w:rsidRPr="000B7B5C">
        <w:rPr>
          <w:rFonts w:cstheme="minorHAnsi"/>
          <w:color w:val="000000"/>
        </w:rPr>
        <w:t xml:space="preserve">Dane przedsiębiorstw, które podlegają sumowaniu należy ustalać na podstawie ksiąg rachunkowych lub danych pochodzących ze skonsolidowanego sprawozdania finansowego. Szczegółowe informacje </w:t>
      </w:r>
      <w:r w:rsidRPr="000B7B5C">
        <w:rPr>
          <w:rFonts w:cstheme="minorHAnsi"/>
          <w:color w:val="000000"/>
        </w:rPr>
        <w:lastRenderedPageBreak/>
        <w:t xml:space="preserve">dotyczące ustalenia statusu przedsiębiorstwa znajdują się w Załączniku I Rozporządzenia Pomocowego. </w:t>
      </w:r>
    </w:p>
    <w:p w14:paraId="67EC03D2" w14:textId="5EF0D931" w:rsidR="004D3520" w:rsidRPr="000B7B5C" w:rsidRDefault="004D3520" w:rsidP="000B7B5C">
      <w:pPr>
        <w:pStyle w:val="Akapitzlist"/>
        <w:widowControl w:val="0"/>
        <w:numPr>
          <w:ilvl w:val="0"/>
          <w:numId w:val="28"/>
        </w:numPr>
        <w:autoSpaceDE w:val="0"/>
        <w:autoSpaceDN w:val="0"/>
        <w:spacing w:before="100" w:beforeAutospacing="1" w:after="120" w:line="240" w:lineRule="auto"/>
        <w:contextualSpacing w:val="0"/>
        <w:jc w:val="both"/>
        <w:rPr>
          <w:rFonts w:eastAsia="Times New Roman"/>
          <w:lang w:eastAsia="pl-PL"/>
        </w:rPr>
      </w:pPr>
      <w:r w:rsidRPr="000B7B5C">
        <w:rPr>
          <w:b/>
          <w:bCs/>
        </w:rPr>
        <w:t>Jaki jest cel wskazywania we wniosku o subwencję zakładanej części pokrycia strat w perspektywie 12 miesięcy?</w:t>
      </w:r>
      <w:r w:rsidRPr="000B7B5C">
        <w:rPr>
          <w:rFonts w:eastAsia="Times New Roman"/>
          <w:lang w:eastAsia="pl-PL"/>
        </w:rPr>
        <w:t xml:space="preserve"> </w:t>
      </w:r>
    </w:p>
    <w:p w14:paraId="2740AA96" w14:textId="58C91F37" w:rsidR="004D3520" w:rsidRPr="000B7B5C" w:rsidRDefault="004D3520" w:rsidP="000B7B5C">
      <w:pPr>
        <w:spacing w:before="100" w:beforeAutospacing="1" w:after="120"/>
        <w:jc w:val="both"/>
        <w:rPr>
          <w:rFonts w:cstheme="minorHAnsi"/>
          <w:color w:val="000000"/>
        </w:rPr>
      </w:pPr>
      <w:r w:rsidRPr="000B7B5C">
        <w:rPr>
          <w:rFonts w:cstheme="minorHAnsi"/>
          <w:color w:val="000000"/>
        </w:rPr>
        <w:t>Wymagana w formularzu wniosku informacja dotycząca wskazania przez wnioskodawcę zakładanego procentowego pokrycia strat finansowych w perspektywie 12 miesięcy jest jedynie informacją statystyczną i nie wpływa na warunki udzielenia subwencji.</w:t>
      </w:r>
    </w:p>
    <w:p w14:paraId="17617293" w14:textId="3B1EDB07" w:rsidR="004D3520" w:rsidRPr="000B7B5C" w:rsidRDefault="004D3520" w:rsidP="000B7B5C">
      <w:pPr>
        <w:pStyle w:val="Akapitzlist"/>
        <w:widowControl w:val="0"/>
        <w:numPr>
          <w:ilvl w:val="0"/>
          <w:numId w:val="28"/>
        </w:numPr>
        <w:autoSpaceDE w:val="0"/>
        <w:autoSpaceDN w:val="0"/>
        <w:spacing w:before="100" w:beforeAutospacing="1" w:after="120" w:line="240" w:lineRule="auto"/>
        <w:contextualSpacing w:val="0"/>
        <w:jc w:val="both"/>
        <w:rPr>
          <w:rFonts w:eastAsia="Times New Roman"/>
          <w:b/>
          <w:bCs/>
          <w:lang w:eastAsia="pl-PL"/>
        </w:rPr>
      </w:pPr>
      <w:r w:rsidRPr="000B7B5C">
        <w:rPr>
          <w:rFonts w:eastAsia="Times New Roman"/>
          <w:b/>
          <w:bCs/>
          <w:lang w:eastAsia="pl-PL"/>
        </w:rPr>
        <w:t>Czy można wskazać do przekazania subwencji rachunek bieżący z udostępnionym kredytem lub linią kredytową?</w:t>
      </w:r>
    </w:p>
    <w:p w14:paraId="7C5BF7A5" w14:textId="29C56F3D" w:rsidR="004D3520" w:rsidRPr="000B7B5C" w:rsidRDefault="004D3520" w:rsidP="000B7B5C">
      <w:pPr>
        <w:spacing w:before="100" w:beforeAutospacing="1" w:after="120" w:line="240" w:lineRule="auto"/>
        <w:jc w:val="both"/>
        <w:rPr>
          <w:rFonts w:eastAsia="Times New Roman" w:cstheme="minorHAnsi"/>
          <w:lang w:eastAsia="pl-PL"/>
        </w:rPr>
      </w:pPr>
      <w:r w:rsidRPr="000B7B5C">
        <w:rPr>
          <w:rFonts w:eastAsia="Times New Roman" w:cstheme="minorHAnsi"/>
          <w:lang w:eastAsia="pl-PL"/>
        </w:rPr>
        <w:t>Środki z subwencji finansowej mogą zostać przekazane na rachunek bieżący, w którym udostępniony jest kredyt lub linia kredytowa, pod warunkiem, że klient na nowo wykorzysta środki ze spłaconego limitu kredytowego do pokrycia kosztów bieżącej działalności gospodarczej.</w:t>
      </w:r>
    </w:p>
    <w:p w14:paraId="6F38669B" w14:textId="77777777" w:rsidR="004D3520" w:rsidRPr="000B7B5C" w:rsidRDefault="004D3520" w:rsidP="000B7B5C">
      <w:pPr>
        <w:pStyle w:val="Akapitzlist"/>
        <w:widowControl w:val="0"/>
        <w:numPr>
          <w:ilvl w:val="0"/>
          <w:numId w:val="28"/>
        </w:numPr>
        <w:autoSpaceDE w:val="0"/>
        <w:autoSpaceDN w:val="0"/>
        <w:spacing w:before="100" w:beforeAutospacing="1" w:after="120" w:line="240" w:lineRule="auto"/>
        <w:contextualSpacing w:val="0"/>
        <w:jc w:val="both"/>
        <w:rPr>
          <w:rFonts w:eastAsia="Times New Roman"/>
          <w:lang w:eastAsia="pl-PL"/>
        </w:rPr>
      </w:pPr>
      <w:r w:rsidRPr="000B7B5C">
        <w:rPr>
          <w:rFonts w:eastAsia="Times New Roman"/>
          <w:b/>
          <w:bCs/>
          <w:lang w:eastAsia="pl-PL"/>
        </w:rPr>
        <w:t>Czy warunkiem wnioskowania o subwencję jest brak zaległości w podatkach i składkach na ubezpieczenia społeczne ?</w:t>
      </w:r>
    </w:p>
    <w:p w14:paraId="61C53747" w14:textId="77777777" w:rsidR="004D3520" w:rsidRPr="000B7B5C" w:rsidRDefault="004D3520" w:rsidP="000B7B5C">
      <w:pPr>
        <w:autoSpaceDE w:val="0"/>
        <w:autoSpaceDN w:val="0"/>
        <w:adjustRightInd w:val="0"/>
        <w:spacing w:before="100" w:beforeAutospacing="1" w:after="120" w:line="240" w:lineRule="auto"/>
        <w:jc w:val="both"/>
        <w:rPr>
          <w:rFonts w:cstheme="minorHAnsi"/>
          <w:color w:val="000000"/>
        </w:rPr>
      </w:pPr>
      <w:r w:rsidRPr="000B7B5C">
        <w:rPr>
          <w:rFonts w:eastAsia="Times New Roman" w:cstheme="minorHAnsi"/>
          <w:lang w:eastAsia="pl-PL"/>
        </w:rPr>
        <w:t>Tak, to jeden z warunków ubiegania się o subwencję.</w:t>
      </w:r>
      <w:r w:rsidRPr="000B7B5C">
        <w:rPr>
          <w:rFonts w:cstheme="minorHAnsi"/>
          <w:color w:val="000000"/>
        </w:rPr>
        <w:t xml:space="preserve"> Może się o nią ubiegać przedsiębiorca, który:</w:t>
      </w:r>
    </w:p>
    <w:p w14:paraId="65E67914" w14:textId="77777777" w:rsidR="004D3520" w:rsidRPr="000B7B5C" w:rsidRDefault="004D3520" w:rsidP="000B7B5C">
      <w:pPr>
        <w:pStyle w:val="Akapitzlist"/>
        <w:widowControl w:val="0"/>
        <w:numPr>
          <w:ilvl w:val="0"/>
          <w:numId w:val="29"/>
        </w:numPr>
        <w:autoSpaceDE w:val="0"/>
        <w:autoSpaceDN w:val="0"/>
        <w:adjustRightInd w:val="0"/>
        <w:spacing w:before="100" w:beforeAutospacing="1" w:after="120" w:line="240" w:lineRule="auto"/>
        <w:contextualSpacing w:val="0"/>
        <w:jc w:val="both"/>
        <w:rPr>
          <w:rFonts w:cstheme="minorHAnsi"/>
          <w:color w:val="000000"/>
        </w:rPr>
      </w:pPr>
      <w:r w:rsidRPr="000B7B5C">
        <w:rPr>
          <w:rFonts w:cstheme="minorHAnsi"/>
          <w:color w:val="000000"/>
        </w:rPr>
        <w:t xml:space="preserve">nie zalegał z płatnościami podatków i składek na ubezpieczenia społeczne na dzień 31 grudnia 2019 r. oraz na dzień składania wniosku, </w:t>
      </w:r>
    </w:p>
    <w:p w14:paraId="55BFEFBF" w14:textId="77777777" w:rsidR="004D3520" w:rsidRPr="000B7B5C" w:rsidRDefault="004D3520" w:rsidP="000B7B5C">
      <w:pPr>
        <w:pStyle w:val="Akapitzlist"/>
        <w:widowControl w:val="0"/>
        <w:numPr>
          <w:ilvl w:val="0"/>
          <w:numId w:val="29"/>
        </w:numPr>
        <w:autoSpaceDE w:val="0"/>
        <w:autoSpaceDN w:val="0"/>
        <w:adjustRightInd w:val="0"/>
        <w:spacing w:before="100" w:beforeAutospacing="1" w:after="120" w:line="240" w:lineRule="auto"/>
        <w:contextualSpacing w:val="0"/>
        <w:jc w:val="both"/>
        <w:rPr>
          <w:rFonts w:cstheme="minorHAnsi"/>
          <w:color w:val="000000"/>
        </w:rPr>
      </w:pPr>
      <w:r w:rsidRPr="000B7B5C">
        <w:rPr>
          <w:rFonts w:cstheme="minorHAnsi"/>
          <w:color w:val="000000"/>
        </w:rPr>
        <w:t xml:space="preserve">nie zalega z płatnościami podatków i składek na ubezpieczenia społeczne na dzień składania wniosku, ale zalegał na dzień 31 grudnia 2019 r. albo </w:t>
      </w:r>
    </w:p>
    <w:p w14:paraId="3F5D596A" w14:textId="77777777" w:rsidR="004D3520" w:rsidRPr="000B7B5C" w:rsidRDefault="004D3520" w:rsidP="000B7B5C">
      <w:pPr>
        <w:pStyle w:val="Akapitzlist"/>
        <w:widowControl w:val="0"/>
        <w:numPr>
          <w:ilvl w:val="0"/>
          <w:numId w:val="29"/>
        </w:numPr>
        <w:autoSpaceDE w:val="0"/>
        <w:autoSpaceDN w:val="0"/>
        <w:adjustRightInd w:val="0"/>
        <w:spacing w:before="100" w:beforeAutospacing="1" w:after="120" w:line="240" w:lineRule="auto"/>
        <w:contextualSpacing w:val="0"/>
        <w:jc w:val="both"/>
        <w:rPr>
          <w:rFonts w:cstheme="minorHAnsi"/>
          <w:color w:val="000000"/>
        </w:rPr>
      </w:pPr>
      <w:r w:rsidRPr="000B7B5C">
        <w:rPr>
          <w:rFonts w:cstheme="minorHAnsi"/>
          <w:color w:val="000000"/>
        </w:rPr>
        <w:t>nie zalegał z płatnościami podatków i składek na ubezpieczenia społeczne na dzień 31 grudnia 2019 r., ale zalega na dzień składania wniosku.</w:t>
      </w:r>
    </w:p>
    <w:p w14:paraId="7B3C07FA" w14:textId="77777777" w:rsidR="004D3520" w:rsidRPr="000B7B5C" w:rsidRDefault="004D3520" w:rsidP="000B7B5C">
      <w:pPr>
        <w:adjustRightInd w:val="0"/>
        <w:spacing w:before="100" w:beforeAutospacing="1" w:after="120"/>
        <w:jc w:val="both"/>
        <w:rPr>
          <w:rFonts w:cstheme="minorHAnsi"/>
          <w:color w:val="000000"/>
        </w:rPr>
      </w:pPr>
      <w:r w:rsidRPr="000B7B5C">
        <w:rPr>
          <w:rFonts w:cstheme="minorHAnsi"/>
          <w:color w:val="000000"/>
        </w:rPr>
        <w:t>Przy czym rozłożenie płatności na raty lub jej odroczenie, lub zaleganie z płatnościami podatków i składek na ubezpieczenia społeczne nieprzekraczające trzykrotności wartości opłaty pobieranej przez operatora wyznaczonego w rozumieniu ustawy prawo pocztowe za traktowanie przesyłki listowej jako przesyłki poleconej, nie jest uznawane za zaległość.</w:t>
      </w:r>
    </w:p>
    <w:p w14:paraId="46D22C7F" w14:textId="56BF9226" w:rsidR="004D3520" w:rsidRPr="000B7B5C" w:rsidRDefault="004D3520" w:rsidP="000B7B5C">
      <w:pPr>
        <w:pStyle w:val="Akapitzlist"/>
        <w:widowControl w:val="0"/>
        <w:numPr>
          <w:ilvl w:val="0"/>
          <w:numId w:val="28"/>
        </w:numPr>
        <w:autoSpaceDE w:val="0"/>
        <w:autoSpaceDN w:val="0"/>
        <w:spacing w:before="100" w:beforeAutospacing="1" w:after="120" w:line="240" w:lineRule="auto"/>
        <w:contextualSpacing w:val="0"/>
        <w:jc w:val="both"/>
        <w:rPr>
          <w:rFonts w:eastAsia="Times New Roman" w:cstheme="minorHAnsi"/>
          <w:lang w:eastAsia="pl-PL"/>
        </w:rPr>
      </w:pPr>
      <w:r w:rsidRPr="000B7B5C">
        <w:rPr>
          <w:rFonts w:eastAsia="Times New Roman" w:cstheme="minorHAnsi"/>
          <w:b/>
          <w:bCs/>
          <w:lang w:eastAsia="pl-PL"/>
        </w:rPr>
        <w:t>Czy z subwencji finansowej mogą skorzystać podmioty sektora rolnego lub rybołówstwa i akwakultury?</w:t>
      </w:r>
    </w:p>
    <w:p w14:paraId="48B68820" w14:textId="0E56A8C1" w:rsidR="004D3520" w:rsidRPr="000B7B5C" w:rsidRDefault="004D3520" w:rsidP="000B7B5C">
      <w:pPr>
        <w:autoSpaceDE w:val="0"/>
        <w:autoSpaceDN w:val="0"/>
        <w:adjustRightInd w:val="0"/>
        <w:spacing w:before="100" w:beforeAutospacing="1" w:after="120" w:line="240" w:lineRule="auto"/>
        <w:jc w:val="both"/>
        <w:rPr>
          <w:rFonts w:cstheme="minorHAnsi"/>
        </w:rPr>
      </w:pPr>
      <w:r w:rsidRPr="000B7B5C">
        <w:rPr>
          <w:rFonts w:eastAsia="Times New Roman" w:cstheme="minorHAnsi"/>
          <w:lang w:eastAsia="pl-PL"/>
        </w:rPr>
        <w:t>Tak, z pomocy mogą skorzystać</w:t>
      </w:r>
      <w:r w:rsidRPr="000B7B5C">
        <w:rPr>
          <w:rFonts w:cstheme="minorHAnsi"/>
        </w:rPr>
        <w:t xml:space="preserve"> przedsiębiorcy:</w:t>
      </w:r>
    </w:p>
    <w:p w14:paraId="1D91054D" w14:textId="77777777" w:rsidR="004D3520" w:rsidRPr="000B7B5C" w:rsidRDefault="004D3520" w:rsidP="000B7B5C">
      <w:pPr>
        <w:pStyle w:val="Akapitzlist"/>
        <w:widowControl w:val="0"/>
        <w:numPr>
          <w:ilvl w:val="1"/>
          <w:numId w:val="28"/>
        </w:numPr>
        <w:autoSpaceDE w:val="0"/>
        <w:autoSpaceDN w:val="0"/>
        <w:adjustRightInd w:val="0"/>
        <w:spacing w:before="100" w:beforeAutospacing="1" w:after="120" w:line="240" w:lineRule="auto"/>
        <w:ind w:left="709" w:hanging="283"/>
        <w:contextualSpacing w:val="0"/>
        <w:jc w:val="both"/>
        <w:rPr>
          <w:rFonts w:eastAsia="Times New Roman" w:cstheme="minorHAnsi"/>
          <w:lang w:eastAsia="pl-PL"/>
        </w:rPr>
      </w:pPr>
      <w:r w:rsidRPr="000B7B5C">
        <w:rPr>
          <w:rFonts w:eastAsia="Times New Roman" w:cstheme="minorHAnsi"/>
          <w:lang w:eastAsia="pl-PL"/>
        </w:rPr>
        <w:t>prowadzący działalność w sektorze produkcji podstawowej produktów rolnych, tj. zajmujący się wytwarzaniem płodów ziemi i produktów pochodzących z chowu zwierząt, wymienionych w załączniku I do TFUE (z wyjątkiem produktów sektora rybołówstwa i akwakultury), bez poddawania ich jakiemukolwiek dalszemu przetwarzaniu zmieniającemu właściwości tych produktów. Ponadto, do produkcji podstawowej produktów rolnych zalicza się wykonywane w gospodarstwach czynności niezbędne do przygotowania produktów zwierzęcych lub roślinnych do pierwszej sprzedaży („Rolnik”); oraz</w:t>
      </w:r>
    </w:p>
    <w:p w14:paraId="0E76E43A" w14:textId="40421CBF" w:rsidR="004D3520" w:rsidRPr="000B7B5C" w:rsidRDefault="004D3520" w:rsidP="000B7B5C">
      <w:pPr>
        <w:pStyle w:val="Akapitzlist"/>
        <w:widowControl w:val="0"/>
        <w:numPr>
          <w:ilvl w:val="1"/>
          <w:numId w:val="28"/>
        </w:numPr>
        <w:autoSpaceDE w:val="0"/>
        <w:autoSpaceDN w:val="0"/>
        <w:adjustRightInd w:val="0"/>
        <w:spacing w:before="100" w:beforeAutospacing="1" w:after="120" w:line="240" w:lineRule="auto"/>
        <w:ind w:left="709" w:hanging="283"/>
        <w:contextualSpacing w:val="0"/>
        <w:jc w:val="both"/>
        <w:rPr>
          <w:rFonts w:eastAsia="Times New Roman" w:cstheme="minorHAnsi"/>
          <w:lang w:eastAsia="pl-PL"/>
        </w:rPr>
      </w:pPr>
      <w:r w:rsidRPr="000B7B5C">
        <w:rPr>
          <w:rFonts w:eastAsia="Times New Roman" w:cstheme="minorHAnsi"/>
          <w:lang w:eastAsia="pl-PL"/>
        </w:rPr>
        <w:t xml:space="preserve">prowadzący działalność w sektorze rybołówstwa i akwakultury, tj. produkujący, przetwarzający lub wprowadzający do obrotu produkty wymienione w załączniku I do rozporządzenia Parlamentu Europejskiego i Rady (UE) nr 1379/2013 z dnia 11 grudnia 2013 r. w sprawie </w:t>
      </w:r>
      <w:r w:rsidRPr="000B7B5C">
        <w:rPr>
          <w:rFonts w:eastAsia="Times New Roman" w:cstheme="minorHAnsi"/>
          <w:lang w:eastAsia="pl-PL"/>
        </w:rPr>
        <w:lastRenderedPageBreak/>
        <w:t>wspólnej organizacji rynków produktów rybołówstwa i akwakultury, zmieniającego rozporządzenia Rady (WE) nr 1184/2006 i (WE) nr 1224/2009 oraz uchylającego rozporządzenie Rady (WE) nr 104/2000 (Dz.U. L 354 z 28.12.2013, s. 1) („Rybak”);</w:t>
      </w:r>
    </w:p>
    <w:p w14:paraId="600F7AA1" w14:textId="43559E55" w:rsidR="004D3520" w:rsidRPr="000B7B5C" w:rsidRDefault="004D3520" w:rsidP="000B7B5C">
      <w:pPr>
        <w:autoSpaceDE w:val="0"/>
        <w:autoSpaceDN w:val="0"/>
        <w:adjustRightInd w:val="0"/>
        <w:spacing w:before="100" w:beforeAutospacing="1" w:after="120" w:line="240" w:lineRule="auto"/>
        <w:jc w:val="both"/>
        <w:rPr>
          <w:rFonts w:eastAsia="Times New Roman" w:cstheme="minorHAnsi"/>
          <w:lang w:eastAsia="pl-PL"/>
        </w:rPr>
      </w:pPr>
      <w:r w:rsidRPr="000B7B5C">
        <w:rPr>
          <w:rFonts w:eastAsia="Times New Roman" w:cstheme="minorHAnsi"/>
          <w:lang w:eastAsia="pl-PL"/>
        </w:rPr>
        <w:t>pod warunkiem, że spełniają jednocześnie pozostałe kryteria, których spełnienie jest niezbędne do uzyskania subwencji finansowej.</w:t>
      </w:r>
    </w:p>
    <w:p w14:paraId="54EB4F08" w14:textId="46A7FFA4" w:rsidR="004D3520" w:rsidRPr="000B7B5C" w:rsidRDefault="004D3520" w:rsidP="000B7B5C">
      <w:pPr>
        <w:autoSpaceDE w:val="0"/>
        <w:autoSpaceDN w:val="0"/>
        <w:adjustRightInd w:val="0"/>
        <w:spacing w:before="100" w:beforeAutospacing="1" w:after="120" w:line="240" w:lineRule="auto"/>
        <w:jc w:val="both"/>
        <w:rPr>
          <w:rFonts w:eastAsia="Times New Roman" w:cstheme="minorHAnsi"/>
          <w:lang w:eastAsia="pl-PL"/>
        </w:rPr>
      </w:pPr>
      <w:r w:rsidRPr="000B7B5C">
        <w:rPr>
          <w:rFonts w:eastAsia="Times New Roman" w:cstheme="minorHAnsi"/>
          <w:lang w:eastAsia="pl-PL"/>
        </w:rPr>
        <w:t>Do podmiotów prowadzących działalność w sektorze produkcji podstawowej produktów rolnych stosuje się limit łącznej pomocy publicznej, którą podmioty te mogą otrzymać w ramach sekcji 3.1. Tymczasowych Ram Pomocy w wysokości równowartości w złotych 100 000 euro.</w:t>
      </w:r>
    </w:p>
    <w:p w14:paraId="5FE2C8BC" w14:textId="36070B79" w:rsidR="004D3520" w:rsidRPr="000B7B5C" w:rsidRDefault="004D3520" w:rsidP="000B7B5C">
      <w:pPr>
        <w:autoSpaceDE w:val="0"/>
        <w:autoSpaceDN w:val="0"/>
        <w:adjustRightInd w:val="0"/>
        <w:spacing w:before="100" w:beforeAutospacing="1" w:after="120" w:line="240" w:lineRule="auto"/>
        <w:jc w:val="both"/>
        <w:rPr>
          <w:rFonts w:cstheme="minorHAnsi"/>
          <w:color w:val="000000"/>
        </w:rPr>
      </w:pPr>
      <w:r w:rsidRPr="000B7B5C">
        <w:rPr>
          <w:rFonts w:eastAsia="Times New Roman" w:cstheme="minorHAnsi"/>
          <w:lang w:eastAsia="pl-PL"/>
        </w:rPr>
        <w:t>Do podmiotów prowadzących działalność w sektorze rybołówstwa i akwakultury stosuje się limit łącznej pomocy publicznej, którą podmioty te mogą otrzymać w ramach sekcji 3.1. Tymczasowych Ram Pomocy w wysokości równowartości w złotych 120 000 euro.</w:t>
      </w:r>
    </w:p>
    <w:p w14:paraId="7E972641" w14:textId="40180880" w:rsidR="004D3520" w:rsidRPr="000B7B5C" w:rsidRDefault="004D3520" w:rsidP="000B7B5C">
      <w:pPr>
        <w:pStyle w:val="Akapitzlist"/>
        <w:widowControl w:val="0"/>
        <w:numPr>
          <w:ilvl w:val="0"/>
          <w:numId w:val="28"/>
        </w:numPr>
        <w:autoSpaceDE w:val="0"/>
        <w:autoSpaceDN w:val="0"/>
        <w:spacing w:before="100" w:beforeAutospacing="1" w:after="120" w:line="240" w:lineRule="auto"/>
        <w:contextualSpacing w:val="0"/>
        <w:jc w:val="both"/>
        <w:rPr>
          <w:rFonts w:eastAsia="Times New Roman" w:cstheme="minorHAnsi"/>
          <w:lang w:eastAsia="pl-PL"/>
        </w:rPr>
      </w:pPr>
      <w:r w:rsidRPr="000B7B5C">
        <w:rPr>
          <w:rFonts w:eastAsia="Times New Roman" w:cstheme="minorHAnsi"/>
          <w:b/>
          <w:bCs/>
          <w:lang w:eastAsia="pl-PL"/>
        </w:rPr>
        <w:t>Jako Rolnik/Rybak nie wiem czy mam nr REGON. Gdzie mogę to sprawdzić?</w:t>
      </w:r>
    </w:p>
    <w:p w14:paraId="27884AA3" w14:textId="750AF641" w:rsidR="004D3520" w:rsidRPr="000B7B5C" w:rsidRDefault="004D3520" w:rsidP="000B7B5C">
      <w:pPr>
        <w:autoSpaceDE w:val="0"/>
        <w:autoSpaceDN w:val="0"/>
        <w:adjustRightInd w:val="0"/>
        <w:spacing w:before="100" w:beforeAutospacing="1" w:after="120" w:line="240" w:lineRule="auto"/>
        <w:jc w:val="both"/>
        <w:rPr>
          <w:rFonts w:cstheme="minorHAnsi"/>
          <w:color w:val="000000"/>
        </w:rPr>
      </w:pPr>
      <w:r w:rsidRPr="000B7B5C">
        <w:rPr>
          <w:rFonts w:cstheme="minorHAnsi"/>
          <w:color w:val="000000"/>
        </w:rPr>
        <w:t>W przypadku gdy Rolnik lub Rybak nie posiada wiedzy o swoim numerze REGON, może:</w:t>
      </w:r>
    </w:p>
    <w:p w14:paraId="5E3AF618" w14:textId="30665477" w:rsidR="004D3520" w:rsidRPr="000B7B5C" w:rsidRDefault="004D3520" w:rsidP="000B7B5C">
      <w:pPr>
        <w:pStyle w:val="Akapitzlist"/>
        <w:widowControl w:val="0"/>
        <w:numPr>
          <w:ilvl w:val="0"/>
          <w:numId w:val="30"/>
        </w:numPr>
        <w:autoSpaceDE w:val="0"/>
        <w:autoSpaceDN w:val="0"/>
        <w:adjustRightInd w:val="0"/>
        <w:spacing w:before="100" w:beforeAutospacing="1" w:after="120" w:line="240" w:lineRule="auto"/>
        <w:contextualSpacing w:val="0"/>
        <w:jc w:val="both"/>
        <w:rPr>
          <w:rFonts w:eastAsia="Novel Pro" w:cstheme="minorHAnsi"/>
          <w:color w:val="000000"/>
        </w:rPr>
      </w:pPr>
      <w:r w:rsidRPr="000B7B5C">
        <w:rPr>
          <w:rFonts w:eastAsia="Novel Pro" w:cstheme="minorHAnsi"/>
          <w:color w:val="000000"/>
        </w:rPr>
        <w:t>sprawdzić swój status za pomocą bazy internetowej REGON pod linkiem https://wyszukiwarkaregon.stat.gov.pl/appBIR/index.aspx;</w:t>
      </w:r>
    </w:p>
    <w:p w14:paraId="16FFDA3A" w14:textId="77777777" w:rsidR="004D3520" w:rsidRPr="000B7B5C" w:rsidRDefault="004D3520" w:rsidP="000B7B5C">
      <w:pPr>
        <w:pStyle w:val="Akapitzlist"/>
        <w:widowControl w:val="0"/>
        <w:numPr>
          <w:ilvl w:val="0"/>
          <w:numId w:val="30"/>
        </w:numPr>
        <w:autoSpaceDE w:val="0"/>
        <w:autoSpaceDN w:val="0"/>
        <w:adjustRightInd w:val="0"/>
        <w:spacing w:before="100" w:beforeAutospacing="1" w:after="120" w:line="240" w:lineRule="auto"/>
        <w:contextualSpacing w:val="0"/>
        <w:jc w:val="both"/>
        <w:rPr>
          <w:rFonts w:cstheme="minorHAnsi"/>
          <w:color w:val="000000"/>
        </w:rPr>
      </w:pPr>
      <w:r w:rsidRPr="000B7B5C">
        <w:rPr>
          <w:rFonts w:cstheme="minorHAnsi"/>
          <w:color w:val="000000"/>
        </w:rPr>
        <w:t xml:space="preserve">zgłosić chęć nadania numeru REGON do Głównego Urzędu Statystycznego na formularzu RG-OF. W związku z sytuacją związaną z wystąpieniem COVID-19, Główny Urząd Statystyczny rekomenduje się składanie wniosku o nadanie REGON droga zdalną – szczegóły w poniższym linku: </w:t>
      </w:r>
      <w:hyperlink r:id="rId10" w:history="1">
        <w:r w:rsidRPr="000B7B5C">
          <w:rPr>
            <w:rStyle w:val="Hipercze"/>
            <w:rFonts w:cstheme="minorHAnsi"/>
          </w:rPr>
          <w:t>https://bip.stat.gov.pl/dzialalnosc-statystyki-publicznej/rejestr-regon/</w:t>
        </w:r>
      </w:hyperlink>
      <w:r w:rsidRPr="000B7B5C">
        <w:rPr>
          <w:rFonts w:cstheme="minorHAnsi"/>
          <w:color w:val="000000"/>
        </w:rPr>
        <w:t>.</w:t>
      </w:r>
    </w:p>
    <w:p w14:paraId="70639EEF" w14:textId="77777777" w:rsidR="004D3520" w:rsidRPr="000B7B5C" w:rsidRDefault="004D3520" w:rsidP="000B7B5C">
      <w:pPr>
        <w:pStyle w:val="Akapitzlist"/>
        <w:spacing w:before="100" w:beforeAutospacing="1" w:after="120"/>
        <w:ind w:left="0"/>
        <w:jc w:val="both"/>
        <w:rPr>
          <w:rFonts w:cstheme="minorHAnsi"/>
          <w:color w:val="000000"/>
        </w:rPr>
      </w:pPr>
    </w:p>
    <w:p w14:paraId="676D70B3" w14:textId="36C4E115" w:rsidR="004D3520" w:rsidRPr="000B7B5C" w:rsidRDefault="004D3520" w:rsidP="000B7B5C">
      <w:pPr>
        <w:pStyle w:val="Akapitzlist"/>
        <w:widowControl w:val="0"/>
        <w:numPr>
          <w:ilvl w:val="0"/>
          <w:numId w:val="28"/>
        </w:numPr>
        <w:autoSpaceDE w:val="0"/>
        <w:autoSpaceDN w:val="0"/>
        <w:spacing w:before="100" w:beforeAutospacing="1" w:after="120" w:line="240" w:lineRule="auto"/>
        <w:contextualSpacing w:val="0"/>
        <w:jc w:val="both"/>
        <w:rPr>
          <w:rFonts w:eastAsia="Times New Roman" w:cstheme="minorHAnsi"/>
          <w:lang w:eastAsia="pl-PL"/>
        </w:rPr>
      </w:pPr>
      <w:r w:rsidRPr="000B7B5C">
        <w:rPr>
          <w:rFonts w:eastAsia="Times New Roman" w:cstheme="minorHAnsi"/>
          <w:b/>
          <w:bCs/>
          <w:lang w:eastAsia="pl-PL"/>
        </w:rPr>
        <w:t>Czy jako Rolnik/Rybak muszę być zarejestrowany w CEIDG lub KRS, aby móc ubiegać się o subwencję finansową?</w:t>
      </w:r>
    </w:p>
    <w:p w14:paraId="6C8962C9" w14:textId="77777777" w:rsidR="004D3520" w:rsidRPr="000B7B5C" w:rsidRDefault="004D3520" w:rsidP="000B7B5C">
      <w:pPr>
        <w:autoSpaceDE w:val="0"/>
        <w:autoSpaceDN w:val="0"/>
        <w:adjustRightInd w:val="0"/>
        <w:spacing w:before="100" w:beforeAutospacing="1" w:after="120" w:line="240" w:lineRule="auto"/>
        <w:jc w:val="both"/>
        <w:rPr>
          <w:rFonts w:cstheme="minorHAnsi"/>
          <w:color w:val="000000"/>
        </w:rPr>
      </w:pPr>
      <w:r w:rsidRPr="000B7B5C">
        <w:rPr>
          <w:rFonts w:cstheme="minorHAnsi"/>
          <w:color w:val="000000"/>
        </w:rPr>
        <w:t>Tak, założenia programowe przewidują, że podmiot, który chce skorzystać z pomocy, musi być zarejestrowany w Krajowym Rejestrze Sądowym albo Centralnej Ewidencji i Informacji o Działalności Gospodarczej. Dotyczy to wszystkich przedsiębiorców, którzy chcą skorzystać z pomocy, w tym Rolników i Rybaków.</w:t>
      </w:r>
    </w:p>
    <w:p w14:paraId="6D9F981A" w14:textId="77777777" w:rsidR="004D3520" w:rsidRPr="000B7B5C" w:rsidRDefault="004D3520" w:rsidP="004D3520">
      <w:pPr>
        <w:adjustRightInd w:val="0"/>
        <w:jc w:val="both"/>
        <w:rPr>
          <w:rFonts w:cstheme="minorHAnsi"/>
          <w:color w:val="000000"/>
        </w:rPr>
      </w:pPr>
    </w:p>
    <w:p w14:paraId="0F38FE96" w14:textId="77777777" w:rsidR="00802DB1" w:rsidRPr="004D3520" w:rsidRDefault="00802DB1" w:rsidP="004D3520"/>
    <w:sectPr w:rsidR="00802DB1" w:rsidRPr="004D352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CB44B" w14:textId="77777777" w:rsidR="00987D4B" w:rsidRDefault="00987D4B" w:rsidP="005E2460">
      <w:pPr>
        <w:spacing w:after="0" w:line="240" w:lineRule="auto"/>
      </w:pPr>
      <w:r>
        <w:separator/>
      </w:r>
    </w:p>
  </w:endnote>
  <w:endnote w:type="continuationSeparator" w:id="0">
    <w:p w14:paraId="69AA04A5" w14:textId="77777777" w:rsidR="00987D4B" w:rsidRDefault="00987D4B" w:rsidP="005E2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ovel Pro">
    <w:altName w:val="Calibri"/>
    <w:panose1 w:val="00000000000000000000"/>
    <w:charset w:val="00"/>
    <w:family w:val="modern"/>
    <w:notTrueType/>
    <w:pitch w:val="variable"/>
    <w:sig w:usb0="00000007" w:usb1="5000A47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8255D" w14:textId="77777777" w:rsidR="00987D4B" w:rsidRDefault="00987D4B" w:rsidP="005E2460">
      <w:pPr>
        <w:spacing w:after="0" w:line="240" w:lineRule="auto"/>
      </w:pPr>
      <w:r>
        <w:separator/>
      </w:r>
    </w:p>
  </w:footnote>
  <w:footnote w:type="continuationSeparator" w:id="0">
    <w:p w14:paraId="59022ECC" w14:textId="77777777" w:rsidR="00987D4B" w:rsidRDefault="00987D4B" w:rsidP="005E2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8DC31" w14:textId="2EFB711E" w:rsidR="005E2460" w:rsidRDefault="005E2460">
    <w:pPr>
      <w:pStyle w:val="Nagwek"/>
    </w:pPr>
    <w:r>
      <w:rPr>
        <w:noProof/>
      </w:rPr>
      <w:drawing>
        <wp:anchor distT="0" distB="0" distL="114300" distR="114300" simplePos="0" relativeHeight="251658240" behindDoc="0" locked="0" layoutInCell="1" allowOverlap="1" wp14:anchorId="7F2F48E3" wp14:editId="4B46DBE4">
          <wp:simplePos x="0" y="0"/>
          <wp:positionH relativeFrom="column">
            <wp:posOffset>5081113</wp:posOffset>
          </wp:positionH>
          <wp:positionV relativeFrom="paragraph">
            <wp:posOffset>-220979</wp:posOffset>
          </wp:positionV>
          <wp:extent cx="1075098" cy="434340"/>
          <wp:effectExtent l="0" t="0" r="0" b="3810"/>
          <wp:wrapNone/>
          <wp:docPr id="1" name="Obraz 1" descr="Obraz zawierający rysune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FR.jpg"/>
                  <pic:cNvPicPr/>
                </pic:nvPicPr>
                <pic:blipFill>
                  <a:blip r:embed="rId1">
                    <a:extLst>
                      <a:ext uri="{28A0092B-C50C-407E-A947-70E740481C1C}">
                        <a14:useLocalDpi xmlns:a14="http://schemas.microsoft.com/office/drawing/2010/main" val="0"/>
                      </a:ext>
                    </a:extLst>
                  </a:blip>
                  <a:stretch>
                    <a:fillRect/>
                  </a:stretch>
                </pic:blipFill>
                <pic:spPr>
                  <a:xfrm>
                    <a:off x="0" y="0"/>
                    <a:ext cx="1082134" cy="4371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5D29"/>
    <w:multiLevelType w:val="hybridMultilevel"/>
    <w:tmpl w:val="894EE8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605F22"/>
    <w:multiLevelType w:val="hybridMultilevel"/>
    <w:tmpl w:val="EEBAEE4A"/>
    <w:lvl w:ilvl="0" w:tplc="04150001">
      <w:start w:val="1"/>
      <w:numFmt w:val="bullet"/>
      <w:lvlText w:val=""/>
      <w:lvlJc w:val="left"/>
      <w:pPr>
        <w:ind w:left="1428" w:hanging="360"/>
      </w:pPr>
      <w:rPr>
        <w:rFonts w:ascii="Symbol" w:hAnsi="Symbol" w:cs="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cs="Wingdings" w:hint="default"/>
      </w:rPr>
    </w:lvl>
    <w:lvl w:ilvl="3" w:tplc="04150001" w:tentative="1">
      <w:start w:val="1"/>
      <w:numFmt w:val="bullet"/>
      <w:lvlText w:val=""/>
      <w:lvlJc w:val="left"/>
      <w:pPr>
        <w:ind w:left="3588" w:hanging="360"/>
      </w:pPr>
      <w:rPr>
        <w:rFonts w:ascii="Symbol" w:hAnsi="Symbol" w:cs="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cs="Wingdings" w:hint="default"/>
      </w:rPr>
    </w:lvl>
    <w:lvl w:ilvl="6" w:tplc="04150001" w:tentative="1">
      <w:start w:val="1"/>
      <w:numFmt w:val="bullet"/>
      <w:lvlText w:val=""/>
      <w:lvlJc w:val="left"/>
      <w:pPr>
        <w:ind w:left="5748" w:hanging="360"/>
      </w:pPr>
      <w:rPr>
        <w:rFonts w:ascii="Symbol" w:hAnsi="Symbol" w:cs="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cs="Wingdings" w:hint="default"/>
      </w:rPr>
    </w:lvl>
  </w:abstractNum>
  <w:abstractNum w:abstractNumId="2" w15:restartNumberingAfterBreak="0">
    <w:nsid w:val="082512F1"/>
    <w:multiLevelType w:val="hybridMultilevel"/>
    <w:tmpl w:val="D8363F74"/>
    <w:lvl w:ilvl="0" w:tplc="04150001">
      <w:start w:val="1"/>
      <w:numFmt w:val="bullet"/>
      <w:lvlText w:val=""/>
      <w:lvlJc w:val="left"/>
      <w:pPr>
        <w:ind w:left="1428" w:hanging="360"/>
      </w:pPr>
      <w:rPr>
        <w:rFonts w:ascii="Symbol" w:hAnsi="Symbol" w:cs="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cs="Wingdings" w:hint="default"/>
      </w:rPr>
    </w:lvl>
    <w:lvl w:ilvl="3" w:tplc="04150001" w:tentative="1">
      <w:start w:val="1"/>
      <w:numFmt w:val="bullet"/>
      <w:lvlText w:val=""/>
      <w:lvlJc w:val="left"/>
      <w:pPr>
        <w:ind w:left="3588" w:hanging="360"/>
      </w:pPr>
      <w:rPr>
        <w:rFonts w:ascii="Symbol" w:hAnsi="Symbol" w:cs="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cs="Wingdings" w:hint="default"/>
      </w:rPr>
    </w:lvl>
    <w:lvl w:ilvl="6" w:tplc="04150001" w:tentative="1">
      <w:start w:val="1"/>
      <w:numFmt w:val="bullet"/>
      <w:lvlText w:val=""/>
      <w:lvlJc w:val="left"/>
      <w:pPr>
        <w:ind w:left="5748" w:hanging="360"/>
      </w:pPr>
      <w:rPr>
        <w:rFonts w:ascii="Symbol" w:hAnsi="Symbol" w:cs="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cs="Wingdings" w:hint="default"/>
      </w:rPr>
    </w:lvl>
  </w:abstractNum>
  <w:abstractNum w:abstractNumId="3" w15:restartNumberingAfterBreak="0">
    <w:nsid w:val="0B32394E"/>
    <w:multiLevelType w:val="hybridMultilevel"/>
    <w:tmpl w:val="29C24368"/>
    <w:lvl w:ilvl="0" w:tplc="1EE6D92C">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204E2E"/>
    <w:multiLevelType w:val="hybridMultilevel"/>
    <w:tmpl w:val="E9BEC1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327800"/>
    <w:multiLevelType w:val="hybridMultilevel"/>
    <w:tmpl w:val="78085A52"/>
    <w:lvl w:ilvl="0" w:tplc="3BA8F3DA">
      <w:start w:val="1"/>
      <w:numFmt w:val="decimal"/>
      <w:lvlText w:val="%1."/>
      <w:lvlJc w:val="left"/>
      <w:pPr>
        <w:ind w:left="720" w:hanging="360"/>
      </w:pPr>
      <w:rPr>
        <w:b/>
        <w:b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005CDF"/>
    <w:multiLevelType w:val="hybridMultilevel"/>
    <w:tmpl w:val="81FAD34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4E55338"/>
    <w:multiLevelType w:val="hybridMultilevel"/>
    <w:tmpl w:val="4782D0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0705ED"/>
    <w:multiLevelType w:val="hybridMultilevel"/>
    <w:tmpl w:val="1CCE4F1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8121A01"/>
    <w:multiLevelType w:val="hybridMultilevel"/>
    <w:tmpl w:val="7D2C751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B7C278A"/>
    <w:multiLevelType w:val="hybridMultilevel"/>
    <w:tmpl w:val="18ACC6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FE5E5B"/>
    <w:multiLevelType w:val="hybridMultilevel"/>
    <w:tmpl w:val="CEBE055C"/>
    <w:lvl w:ilvl="0" w:tplc="A9AE0D4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5561D35"/>
    <w:multiLevelType w:val="hybridMultilevel"/>
    <w:tmpl w:val="55A88AB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2897F58"/>
    <w:multiLevelType w:val="hybridMultilevel"/>
    <w:tmpl w:val="5CB4F72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2E24EAC"/>
    <w:multiLevelType w:val="hybridMultilevel"/>
    <w:tmpl w:val="B2FAA54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7CA001F"/>
    <w:multiLevelType w:val="hybridMultilevel"/>
    <w:tmpl w:val="0398344A"/>
    <w:lvl w:ilvl="0" w:tplc="04150001">
      <w:start w:val="1"/>
      <w:numFmt w:val="bullet"/>
      <w:lvlText w:val=""/>
      <w:lvlJc w:val="left"/>
      <w:pPr>
        <w:ind w:left="1480" w:hanging="360"/>
      </w:pPr>
      <w:rPr>
        <w:rFonts w:ascii="Symbol" w:hAnsi="Symbol" w:cs="Symbol"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cs="Wingdings" w:hint="default"/>
      </w:rPr>
    </w:lvl>
    <w:lvl w:ilvl="3" w:tplc="04150001" w:tentative="1">
      <w:start w:val="1"/>
      <w:numFmt w:val="bullet"/>
      <w:lvlText w:val=""/>
      <w:lvlJc w:val="left"/>
      <w:pPr>
        <w:ind w:left="3640" w:hanging="360"/>
      </w:pPr>
      <w:rPr>
        <w:rFonts w:ascii="Symbol" w:hAnsi="Symbol" w:cs="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cs="Wingdings" w:hint="default"/>
      </w:rPr>
    </w:lvl>
    <w:lvl w:ilvl="6" w:tplc="04150001" w:tentative="1">
      <w:start w:val="1"/>
      <w:numFmt w:val="bullet"/>
      <w:lvlText w:val=""/>
      <w:lvlJc w:val="left"/>
      <w:pPr>
        <w:ind w:left="5800" w:hanging="360"/>
      </w:pPr>
      <w:rPr>
        <w:rFonts w:ascii="Symbol" w:hAnsi="Symbol" w:cs="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cs="Wingdings" w:hint="default"/>
      </w:rPr>
    </w:lvl>
  </w:abstractNum>
  <w:abstractNum w:abstractNumId="16" w15:restartNumberingAfterBreak="0">
    <w:nsid w:val="381113C0"/>
    <w:multiLevelType w:val="hybridMultilevel"/>
    <w:tmpl w:val="B41C3B3C"/>
    <w:lvl w:ilvl="0" w:tplc="FFD65E6C">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FC2DF5"/>
    <w:multiLevelType w:val="hybridMultilevel"/>
    <w:tmpl w:val="B1B60F7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4586F4B"/>
    <w:multiLevelType w:val="hybridMultilevel"/>
    <w:tmpl w:val="CECA9D1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9A67DB6"/>
    <w:multiLevelType w:val="hybridMultilevel"/>
    <w:tmpl w:val="EF309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4E6189"/>
    <w:multiLevelType w:val="hybridMultilevel"/>
    <w:tmpl w:val="54743A24"/>
    <w:lvl w:ilvl="0" w:tplc="89DADE2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ECB5507"/>
    <w:multiLevelType w:val="hybridMultilevel"/>
    <w:tmpl w:val="FE021A72"/>
    <w:lvl w:ilvl="0" w:tplc="CD70D15C">
      <w:start w:val="1"/>
      <w:numFmt w:val="lowerRoman"/>
      <w:lvlText w:val="(%1)"/>
      <w:lvlJc w:val="left"/>
      <w:pPr>
        <w:ind w:left="1428" w:hanging="72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5F187613"/>
    <w:multiLevelType w:val="hybridMultilevel"/>
    <w:tmpl w:val="62B661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6C7F94"/>
    <w:multiLevelType w:val="hybridMultilevel"/>
    <w:tmpl w:val="55A28A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700141"/>
    <w:multiLevelType w:val="hybridMultilevel"/>
    <w:tmpl w:val="8D9C3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A0524B"/>
    <w:multiLevelType w:val="hybridMultilevel"/>
    <w:tmpl w:val="F0EAE74E"/>
    <w:lvl w:ilvl="0" w:tplc="9E0003C4">
      <w:start w:val="1"/>
      <w:numFmt w:val="low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B53E84"/>
    <w:multiLevelType w:val="hybridMultilevel"/>
    <w:tmpl w:val="34F4F59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7" w15:restartNumberingAfterBreak="0">
    <w:nsid w:val="6FDC2054"/>
    <w:multiLevelType w:val="hybridMultilevel"/>
    <w:tmpl w:val="D722E04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A7B2008"/>
    <w:multiLevelType w:val="hybridMultilevel"/>
    <w:tmpl w:val="3140CB8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C9C36B5"/>
    <w:multiLevelType w:val="hybridMultilevel"/>
    <w:tmpl w:val="03682618"/>
    <w:lvl w:ilvl="0" w:tplc="0DAE07B0">
      <w:start w:val="1"/>
      <w:numFmt w:val="bullet"/>
      <w:lvlText w:val="­"/>
      <w:lvlJc w:val="left"/>
      <w:pPr>
        <w:ind w:left="1800" w:hanging="360"/>
      </w:pPr>
      <w:rPr>
        <w:rFonts w:ascii="Courier New" w:hAnsi="Courier New"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cs="Wingdings" w:hint="default"/>
      </w:rPr>
    </w:lvl>
    <w:lvl w:ilvl="3" w:tplc="04150001" w:tentative="1">
      <w:start w:val="1"/>
      <w:numFmt w:val="bullet"/>
      <w:lvlText w:val=""/>
      <w:lvlJc w:val="left"/>
      <w:pPr>
        <w:ind w:left="3960" w:hanging="360"/>
      </w:pPr>
      <w:rPr>
        <w:rFonts w:ascii="Symbol" w:hAnsi="Symbol" w:cs="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cs="Wingdings" w:hint="default"/>
      </w:rPr>
    </w:lvl>
    <w:lvl w:ilvl="6" w:tplc="04150001" w:tentative="1">
      <w:start w:val="1"/>
      <w:numFmt w:val="bullet"/>
      <w:lvlText w:val=""/>
      <w:lvlJc w:val="left"/>
      <w:pPr>
        <w:ind w:left="6120" w:hanging="360"/>
      </w:pPr>
      <w:rPr>
        <w:rFonts w:ascii="Symbol" w:hAnsi="Symbol" w:cs="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cs="Wingdings" w:hint="default"/>
      </w:rPr>
    </w:lvl>
  </w:abstractNum>
  <w:num w:numId="1">
    <w:abstractNumId w:val="25"/>
  </w:num>
  <w:num w:numId="2">
    <w:abstractNumId w:val="11"/>
  </w:num>
  <w:num w:numId="3">
    <w:abstractNumId w:val="13"/>
  </w:num>
  <w:num w:numId="4">
    <w:abstractNumId w:val="18"/>
  </w:num>
  <w:num w:numId="5">
    <w:abstractNumId w:val="17"/>
  </w:num>
  <w:num w:numId="6">
    <w:abstractNumId w:val="14"/>
  </w:num>
  <w:num w:numId="7">
    <w:abstractNumId w:val="29"/>
  </w:num>
  <w:num w:numId="8">
    <w:abstractNumId w:val="6"/>
  </w:num>
  <w:num w:numId="9">
    <w:abstractNumId w:val="28"/>
  </w:num>
  <w:num w:numId="10">
    <w:abstractNumId w:val="12"/>
  </w:num>
  <w:num w:numId="11">
    <w:abstractNumId w:val="9"/>
  </w:num>
  <w:num w:numId="12">
    <w:abstractNumId w:val="26"/>
  </w:num>
  <w:num w:numId="13">
    <w:abstractNumId w:val="10"/>
  </w:num>
  <w:num w:numId="14">
    <w:abstractNumId w:val="20"/>
  </w:num>
  <w:num w:numId="15">
    <w:abstractNumId w:val="8"/>
  </w:num>
  <w:num w:numId="16">
    <w:abstractNumId w:val="7"/>
  </w:num>
  <w:num w:numId="17">
    <w:abstractNumId w:val="19"/>
  </w:num>
  <w:num w:numId="18">
    <w:abstractNumId w:val="24"/>
  </w:num>
  <w:num w:numId="19">
    <w:abstractNumId w:val="0"/>
  </w:num>
  <w:num w:numId="20">
    <w:abstractNumId w:val="3"/>
  </w:num>
  <w:num w:numId="21">
    <w:abstractNumId w:val="1"/>
  </w:num>
  <w:num w:numId="22">
    <w:abstractNumId w:val="27"/>
  </w:num>
  <w:num w:numId="23">
    <w:abstractNumId w:val="2"/>
  </w:num>
  <w:num w:numId="24">
    <w:abstractNumId w:val="15"/>
  </w:num>
  <w:num w:numId="25">
    <w:abstractNumId w:val="21"/>
  </w:num>
  <w:num w:numId="26">
    <w:abstractNumId w:val="4"/>
  </w:num>
  <w:num w:numId="27">
    <w:abstractNumId w:val="16"/>
  </w:num>
  <w:num w:numId="28">
    <w:abstractNumId w:val="5"/>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D2E"/>
    <w:rsid w:val="000107EA"/>
    <w:rsid w:val="00055128"/>
    <w:rsid w:val="000552C9"/>
    <w:rsid w:val="00055B91"/>
    <w:rsid w:val="000B7B5C"/>
    <w:rsid w:val="000E3FC6"/>
    <w:rsid w:val="001223D7"/>
    <w:rsid w:val="00125DC4"/>
    <w:rsid w:val="00152972"/>
    <w:rsid w:val="00207CC8"/>
    <w:rsid w:val="002D4345"/>
    <w:rsid w:val="002F1C21"/>
    <w:rsid w:val="00303F08"/>
    <w:rsid w:val="00375384"/>
    <w:rsid w:val="003816FF"/>
    <w:rsid w:val="00385BEB"/>
    <w:rsid w:val="003C1716"/>
    <w:rsid w:val="003C3961"/>
    <w:rsid w:val="003F5D33"/>
    <w:rsid w:val="00403B74"/>
    <w:rsid w:val="00444C58"/>
    <w:rsid w:val="0044522C"/>
    <w:rsid w:val="004D3520"/>
    <w:rsid w:val="004D7D2E"/>
    <w:rsid w:val="00543628"/>
    <w:rsid w:val="005E2460"/>
    <w:rsid w:val="00605F29"/>
    <w:rsid w:val="00630F60"/>
    <w:rsid w:val="00663795"/>
    <w:rsid w:val="007119F1"/>
    <w:rsid w:val="00720909"/>
    <w:rsid w:val="00746929"/>
    <w:rsid w:val="007B0B30"/>
    <w:rsid w:val="00802DB1"/>
    <w:rsid w:val="0086048E"/>
    <w:rsid w:val="00912B20"/>
    <w:rsid w:val="009365C7"/>
    <w:rsid w:val="0095620D"/>
    <w:rsid w:val="00987D4B"/>
    <w:rsid w:val="00AA25F5"/>
    <w:rsid w:val="00AA7AEC"/>
    <w:rsid w:val="00B37658"/>
    <w:rsid w:val="00B44527"/>
    <w:rsid w:val="00C73767"/>
    <w:rsid w:val="00D16E45"/>
    <w:rsid w:val="00D57F75"/>
    <w:rsid w:val="00DA0200"/>
    <w:rsid w:val="00DF2B94"/>
    <w:rsid w:val="00E560A6"/>
    <w:rsid w:val="00EB4BAF"/>
    <w:rsid w:val="00F258BC"/>
    <w:rsid w:val="00F461F1"/>
    <w:rsid w:val="00FC22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57963"/>
  <w15:chartTrackingRefBased/>
  <w15:docId w15:val="{C7157F48-64F8-4FC3-8334-AB25CA37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3520"/>
  </w:style>
  <w:style w:type="paragraph" w:styleId="Nagwek1">
    <w:name w:val="heading 1"/>
    <w:basedOn w:val="Normalny"/>
    <w:next w:val="Normalny"/>
    <w:link w:val="Nagwek1Znak"/>
    <w:uiPriority w:val="9"/>
    <w:qFormat/>
    <w:rsid w:val="004D7D2E"/>
    <w:pPr>
      <w:keepNext/>
      <w:keepLines/>
      <w:spacing w:before="240" w:after="0"/>
      <w:outlineLvl w:val="0"/>
    </w:pPr>
    <w:rPr>
      <w:rFonts w:asciiTheme="majorHAnsi" w:eastAsiaTheme="majorEastAsia" w:hAnsiTheme="majorHAnsi" w:cstheme="majorBidi"/>
      <w:color w:val="8F0000" w:themeColor="accent1" w:themeShade="BF"/>
      <w:sz w:val="32"/>
      <w:szCs w:val="32"/>
    </w:rPr>
  </w:style>
  <w:style w:type="paragraph" w:styleId="Nagwek2">
    <w:name w:val="heading 2"/>
    <w:basedOn w:val="Normalny"/>
    <w:next w:val="Normalny"/>
    <w:link w:val="Nagwek2Znak"/>
    <w:uiPriority w:val="9"/>
    <w:unhideWhenUsed/>
    <w:qFormat/>
    <w:rsid w:val="004D7D2E"/>
    <w:pPr>
      <w:keepNext/>
      <w:keepLines/>
      <w:numPr>
        <w:numId w:val="20"/>
      </w:numPr>
      <w:spacing w:before="40" w:after="0"/>
      <w:outlineLvl w:val="1"/>
    </w:pPr>
    <w:rPr>
      <w:rFonts w:asciiTheme="majorHAnsi" w:eastAsiaTheme="majorEastAsia" w:hAnsiTheme="majorHAnsi" w:cstheme="majorBidi"/>
      <w:color w:val="8F0000"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D7D2E"/>
    <w:rPr>
      <w:rFonts w:asciiTheme="majorHAnsi" w:eastAsiaTheme="majorEastAsia" w:hAnsiTheme="majorHAnsi" w:cstheme="majorBidi"/>
      <w:color w:val="8F0000" w:themeColor="accent1" w:themeShade="BF"/>
      <w:sz w:val="32"/>
      <w:szCs w:val="32"/>
    </w:rPr>
  </w:style>
  <w:style w:type="character" w:customStyle="1" w:styleId="Nagwek2Znak">
    <w:name w:val="Nagłówek 2 Znak"/>
    <w:basedOn w:val="Domylnaczcionkaakapitu"/>
    <w:link w:val="Nagwek2"/>
    <w:uiPriority w:val="9"/>
    <w:rsid w:val="004D7D2E"/>
    <w:rPr>
      <w:rFonts w:asciiTheme="majorHAnsi" w:eastAsiaTheme="majorEastAsia" w:hAnsiTheme="majorHAnsi" w:cstheme="majorBidi"/>
      <w:color w:val="8F0000" w:themeColor="accent1" w:themeShade="BF"/>
      <w:sz w:val="26"/>
      <w:szCs w:val="26"/>
    </w:rPr>
  </w:style>
  <w:style w:type="paragraph" w:styleId="Nagwekspisutreci">
    <w:name w:val="TOC Heading"/>
    <w:basedOn w:val="Nagwek1"/>
    <w:next w:val="Normalny"/>
    <w:uiPriority w:val="39"/>
    <w:unhideWhenUsed/>
    <w:qFormat/>
    <w:rsid w:val="00055128"/>
    <w:pPr>
      <w:outlineLvl w:val="9"/>
    </w:pPr>
    <w:rPr>
      <w:lang w:eastAsia="pl-PL"/>
    </w:rPr>
  </w:style>
  <w:style w:type="paragraph" w:styleId="Spistreci1">
    <w:name w:val="toc 1"/>
    <w:basedOn w:val="Normalny"/>
    <w:next w:val="Normalny"/>
    <w:autoRedefine/>
    <w:uiPriority w:val="39"/>
    <w:unhideWhenUsed/>
    <w:rsid w:val="00055128"/>
    <w:pPr>
      <w:spacing w:after="100"/>
    </w:pPr>
  </w:style>
  <w:style w:type="paragraph" w:styleId="Spistreci2">
    <w:name w:val="toc 2"/>
    <w:basedOn w:val="Normalny"/>
    <w:next w:val="Normalny"/>
    <w:autoRedefine/>
    <w:uiPriority w:val="39"/>
    <w:unhideWhenUsed/>
    <w:rsid w:val="00055128"/>
    <w:pPr>
      <w:spacing w:after="100"/>
      <w:ind w:left="220"/>
    </w:pPr>
  </w:style>
  <w:style w:type="character" w:styleId="Hipercze">
    <w:name w:val="Hyperlink"/>
    <w:basedOn w:val="Domylnaczcionkaakapitu"/>
    <w:uiPriority w:val="99"/>
    <w:unhideWhenUsed/>
    <w:rsid w:val="00055128"/>
    <w:rPr>
      <w:color w:val="C00000" w:themeColor="hyperlink"/>
      <w:u w:val="single"/>
    </w:rPr>
  </w:style>
  <w:style w:type="paragraph" w:styleId="Spistreci3">
    <w:name w:val="toc 3"/>
    <w:basedOn w:val="Normalny"/>
    <w:next w:val="Normalny"/>
    <w:autoRedefine/>
    <w:uiPriority w:val="39"/>
    <w:unhideWhenUsed/>
    <w:rsid w:val="00D16E45"/>
    <w:pPr>
      <w:spacing w:after="100"/>
      <w:ind w:left="440"/>
    </w:pPr>
    <w:rPr>
      <w:rFonts w:eastAsiaTheme="minorEastAsia"/>
      <w:lang w:eastAsia="pl-PL"/>
    </w:rPr>
  </w:style>
  <w:style w:type="paragraph" w:styleId="Spistreci4">
    <w:name w:val="toc 4"/>
    <w:basedOn w:val="Normalny"/>
    <w:next w:val="Normalny"/>
    <w:autoRedefine/>
    <w:uiPriority w:val="39"/>
    <w:unhideWhenUsed/>
    <w:rsid w:val="00D16E45"/>
    <w:pPr>
      <w:spacing w:after="100"/>
      <w:ind w:left="660"/>
    </w:pPr>
    <w:rPr>
      <w:rFonts w:eastAsiaTheme="minorEastAsia"/>
      <w:lang w:eastAsia="pl-PL"/>
    </w:rPr>
  </w:style>
  <w:style w:type="paragraph" w:styleId="Spistreci5">
    <w:name w:val="toc 5"/>
    <w:basedOn w:val="Normalny"/>
    <w:next w:val="Normalny"/>
    <w:autoRedefine/>
    <w:uiPriority w:val="39"/>
    <w:unhideWhenUsed/>
    <w:rsid w:val="00D16E45"/>
    <w:pPr>
      <w:spacing w:after="100"/>
      <w:ind w:left="880"/>
    </w:pPr>
    <w:rPr>
      <w:rFonts w:eastAsiaTheme="minorEastAsia"/>
      <w:lang w:eastAsia="pl-PL"/>
    </w:rPr>
  </w:style>
  <w:style w:type="paragraph" w:styleId="Spistreci6">
    <w:name w:val="toc 6"/>
    <w:basedOn w:val="Normalny"/>
    <w:next w:val="Normalny"/>
    <w:autoRedefine/>
    <w:uiPriority w:val="39"/>
    <w:unhideWhenUsed/>
    <w:rsid w:val="00D16E45"/>
    <w:pPr>
      <w:spacing w:after="100"/>
      <w:ind w:left="1100"/>
    </w:pPr>
    <w:rPr>
      <w:rFonts w:eastAsiaTheme="minorEastAsia"/>
      <w:lang w:eastAsia="pl-PL"/>
    </w:rPr>
  </w:style>
  <w:style w:type="paragraph" w:styleId="Spistreci7">
    <w:name w:val="toc 7"/>
    <w:basedOn w:val="Normalny"/>
    <w:next w:val="Normalny"/>
    <w:autoRedefine/>
    <w:uiPriority w:val="39"/>
    <w:unhideWhenUsed/>
    <w:rsid w:val="00D16E45"/>
    <w:pPr>
      <w:spacing w:after="100"/>
      <w:ind w:left="1320"/>
    </w:pPr>
    <w:rPr>
      <w:rFonts w:eastAsiaTheme="minorEastAsia"/>
      <w:lang w:eastAsia="pl-PL"/>
    </w:rPr>
  </w:style>
  <w:style w:type="paragraph" w:styleId="Spistreci8">
    <w:name w:val="toc 8"/>
    <w:basedOn w:val="Normalny"/>
    <w:next w:val="Normalny"/>
    <w:autoRedefine/>
    <w:uiPriority w:val="39"/>
    <w:unhideWhenUsed/>
    <w:rsid w:val="00D16E45"/>
    <w:pPr>
      <w:spacing w:after="100"/>
      <w:ind w:left="1540"/>
    </w:pPr>
    <w:rPr>
      <w:rFonts w:eastAsiaTheme="minorEastAsia"/>
      <w:lang w:eastAsia="pl-PL"/>
    </w:rPr>
  </w:style>
  <w:style w:type="paragraph" w:styleId="Spistreci9">
    <w:name w:val="toc 9"/>
    <w:basedOn w:val="Normalny"/>
    <w:next w:val="Normalny"/>
    <w:autoRedefine/>
    <w:uiPriority w:val="39"/>
    <w:unhideWhenUsed/>
    <w:rsid w:val="00D16E45"/>
    <w:pPr>
      <w:spacing w:after="100"/>
      <w:ind w:left="1760"/>
    </w:pPr>
    <w:rPr>
      <w:rFonts w:eastAsiaTheme="minorEastAsia"/>
      <w:lang w:eastAsia="pl-PL"/>
    </w:rPr>
  </w:style>
  <w:style w:type="character" w:styleId="Nierozpoznanawzmianka">
    <w:name w:val="Unresolved Mention"/>
    <w:basedOn w:val="Domylnaczcionkaakapitu"/>
    <w:uiPriority w:val="99"/>
    <w:semiHidden/>
    <w:unhideWhenUsed/>
    <w:rsid w:val="00D16E45"/>
    <w:rPr>
      <w:color w:val="605E5C"/>
      <w:shd w:val="clear" w:color="auto" w:fill="E1DFDD"/>
    </w:rPr>
  </w:style>
  <w:style w:type="paragraph" w:styleId="Tekstdymka">
    <w:name w:val="Balloon Text"/>
    <w:basedOn w:val="Normalny"/>
    <w:link w:val="TekstdymkaZnak"/>
    <w:uiPriority w:val="99"/>
    <w:semiHidden/>
    <w:unhideWhenUsed/>
    <w:rsid w:val="002F1C2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1C21"/>
    <w:rPr>
      <w:rFonts w:ascii="Segoe UI" w:hAnsi="Segoe UI" w:cs="Segoe UI"/>
      <w:sz w:val="18"/>
      <w:szCs w:val="18"/>
    </w:rPr>
  </w:style>
  <w:style w:type="paragraph" w:styleId="Akapitzlist">
    <w:name w:val="List Paragraph"/>
    <w:aliases w:val="HŁ_Bullet1,lp1"/>
    <w:basedOn w:val="Normalny"/>
    <w:link w:val="AkapitzlistZnak"/>
    <w:uiPriority w:val="34"/>
    <w:qFormat/>
    <w:rsid w:val="002F1C21"/>
    <w:pPr>
      <w:ind w:left="720"/>
      <w:contextualSpacing/>
    </w:pPr>
  </w:style>
  <w:style w:type="paragraph" w:customStyle="1" w:styleId="Default">
    <w:name w:val="Default"/>
    <w:rsid w:val="00543628"/>
    <w:pPr>
      <w:autoSpaceDE w:val="0"/>
      <w:autoSpaceDN w:val="0"/>
      <w:adjustRightInd w:val="0"/>
      <w:spacing w:after="0" w:line="240" w:lineRule="auto"/>
    </w:pPr>
    <w:rPr>
      <w:rFonts w:ascii="Novel Pro" w:hAnsi="Novel Pro" w:cs="Novel Pro"/>
      <w:color w:val="000000"/>
      <w:sz w:val="24"/>
      <w:szCs w:val="24"/>
    </w:rPr>
  </w:style>
  <w:style w:type="character" w:customStyle="1" w:styleId="AkapitzlistZnak">
    <w:name w:val="Akapit z listą Znak"/>
    <w:aliases w:val="HŁ_Bullet1 Znak,lp1 Znak"/>
    <w:link w:val="Akapitzlist"/>
    <w:uiPriority w:val="34"/>
    <w:locked/>
    <w:rsid w:val="00802DB1"/>
  </w:style>
  <w:style w:type="character" w:styleId="UyteHipercze">
    <w:name w:val="FollowedHyperlink"/>
    <w:basedOn w:val="Domylnaczcionkaakapitu"/>
    <w:uiPriority w:val="99"/>
    <w:semiHidden/>
    <w:unhideWhenUsed/>
    <w:rsid w:val="00AA25F5"/>
    <w:rPr>
      <w:color w:val="954F72" w:themeColor="followedHyperlink"/>
      <w:u w:val="single"/>
    </w:rPr>
  </w:style>
  <w:style w:type="paragraph" w:styleId="Nagwek">
    <w:name w:val="header"/>
    <w:basedOn w:val="Normalny"/>
    <w:link w:val="NagwekZnak"/>
    <w:uiPriority w:val="99"/>
    <w:unhideWhenUsed/>
    <w:rsid w:val="005E24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2460"/>
  </w:style>
  <w:style w:type="paragraph" w:styleId="Stopka">
    <w:name w:val="footer"/>
    <w:basedOn w:val="Normalny"/>
    <w:link w:val="StopkaZnak"/>
    <w:uiPriority w:val="99"/>
    <w:unhideWhenUsed/>
    <w:rsid w:val="005E24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2460"/>
  </w:style>
  <w:style w:type="paragraph" w:styleId="Zwykytekst">
    <w:name w:val="Plain Text"/>
    <w:basedOn w:val="Normalny"/>
    <w:link w:val="ZwykytekstZnak"/>
    <w:uiPriority w:val="99"/>
    <w:unhideWhenUsed/>
    <w:rsid w:val="004D3520"/>
    <w:pPr>
      <w:spacing w:after="0" w:line="240" w:lineRule="auto"/>
    </w:pPr>
    <w:rPr>
      <w:rFonts w:ascii="Calibri" w:hAnsi="Calibri" w:cs="Calibri"/>
    </w:rPr>
  </w:style>
  <w:style w:type="character" w:customStyle="1" w:styleId="ZwykytekstZnak">
    <w:name w:val="Zwykły tekst Znak"/>
    <w:basedOn w:val="Domylnaczcionkaakapitu"/>
    <w:link w:val="Zwykytekst"/>
    <w:uiPriority w:val="99"/>
    <w:rsid w:val="004D3520"/>
    <w:rPr>
      <w:rFonts w:ascii="Calibri" w:hAnsi="Calibri" w:cs="Calibri"/>
    </w:rPr>
  </w:style>
  <w:style w:type="paragraph" w:styleId="NormalnyWeb">
    <w:name w:val="Normal (Web)"/>
    <w:basedOn w:val="Normalny"/>
    <w:uiPriority w:val="99"/>
    <w:unhideWhenUsed/>
    <w:rsid w:val="004D352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357551">
      <w:bodyDiv w:val="1"/>
      <w:marLeft w:val="0"/>
      <w:marRight w:val="0"/>
      <w:marTop w:val="0"/>
      <w:marBottom w:val="0"/>
      <w:divBdr>
        <w:top w:val="none" w:sz="0" w:space="0" w:color="auto"/>
        <w:left w:val="none" w:sz="0" w:space="0" w:color="auto"/>
        <w:bottom w:val="none" w:sz="0" w:space="0" w:color="auto"/>
        <w:right w:val="none" w:sz="0" w:space="0" w:color="auto"/>
      </w:divBdr>
      <w:divsChild>
        <w:div w:id="382366188">
          <w:marLeft w:val="0"/>
          <w:marRight w:val="0"/>
          <w:marTop w:val="0"/>
          <w:marBottom w:val="0"/>
          <w:divBdr>
            <w:top w:val="none" w:sz="0" w:space="0" w:color="auto"/>
            <w:left w:val="none" w:sz="0" w:space="0" w:color="auto"/>
            <w:bottom w:val="none" w:sz="0" w:space="0" w:color="auto"/>
            <w:right w:val="none" w:sz="0" w:space="0" w:color="auto"/>
          </w:divBdr>
        </w:div>
      </w:divsChild>
    </w:div>
    <w:div w:id="1137263245">
      <w:bodyDiv w:val="1"/>
      <w:marLeft w:val="0"/>
      <w:marRight w:val="0"/>
      <w:marTop w:val="0"/>
      <w:marBottom w:val="0"/>
      <w:divBdr>
        <w:top w:val="none" w:sz="0" w:space="0" w:color="auto"/>
        <w:left w:val="none" w:sz="0" w:space="0" w:color="auto"/>
        <w:bottom w:val="none" w:sz="0" w:space="0" w:color="auto"/>
        <w:right w:val="none" w:sz="0" w:space="0" w:color="auto"/>
      </w:divBdr>
      <w:divsChild>
        <w:div w:id="959459460">
          <w:marLeft w:val="0"/>
          <w:marRight w:val="0"/>
          <w:marTop w:val="0"/>
          <w:marBottom w:val="0"/>
          <w:divBdr>
            <w:top w:val="none" w:sz="0" w:space="0" w:color="auto"/>
            <w:left w:val="none" w:sz="0" w:space="0" w:color="auto"/>
            <w:bottom w:val="none" w:sz="0" w:space="0" w:color="auto"/>
            <w:right w:val="none" w:sz="0" w:space="0" w:color="auto"/>
          </w:divBdr>
        </w:div>
      </w:divsChild>
    </w:div>
    <w:div w:id="1483308763">
      <w:bodyDiv w:val="1"/>
      <w:marLeft w:val="0"/>
      <w:marRight w:val="0"/>
      <w:marTop w:val="0"/>
      <w:marBottom w:val="0"/>
      <w:divBdr>
        <w:top w:val="none" w:sz="0" w:space="0" w:color="auto"/>
        <w:left w:val="none" w:sz="0" w:space="0" w:color="auto"/>
        <w:bottom w:val="none" w:sz="0" w:space="0" w:color="auto"/>
        <w:right w:val="none" w:sz="0" w:space="0" w:color="auto"/>
      </w:divBdr>
      <w:divsChild>
        <w:div w:id="1360617421">
          <w:marLeft w:val="0"/>
          <w:marRight w:val="0"/>
          <w:marTop w:val="0"/>
          <w:marBottom w:val="0"/>
          <w:divBdr>
            <w:top w:val="none" w:sz="0" w:space="0" w:color="auto"/>
            <w:left w:val="none" w:sz="0" w:space="0" w:color="auto"/>
            <w:bottom w:val="none" w:sz="0" w:space="0" w:color="auto"/>
            <w:right w:val="none" w:sz="0" w:space="0" w:color="auto"/>
          </w:divBdr>
        </w:div>
      </w:divsChild>
    </w:div>
    <w:div w:id="159084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frsa.pl/tarcza-finansowa-pfr/tarcza-finansowa-pfr-dla-mmsp.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ip.stat.gov.pl/dzialalnosc-statystyki-publicznej/rejestr-regon/" TargetMode="External"/><Relationship Id="rId4" Type="http://schemas.openxmlformats.org/officeDocument/2006/relationships/settings" Target="settings.xml"/><Relationship Id="rId9" Type="http://schemas.openxmlformats.org/officeDocument/2006/relationships/hyperlink" Target="https://pfrsa.pl/dam/jcr:997d60c7-2f85-493a-b79b-a66e32af04b5/tarcza-pfr-okreslanie-liczby-pracownikow.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Niestandardowy 3">
      <a:dk1>
        <a:sysClr val="windowText" lastClr="000000"/>
      </a:dk1>
      <a:lt1>
        <a:sysClr val="window" lastClr="FFFFFF"/>
      </a:lt1>
      <a:dk2>
        <a:srgbClr val="44546A"/>
      </a:dk2>
      <a:lt2>
        <a:srgbClr val="E7E6E6"/>
      </a:lt2>
      <a:accent1>
        <a:srgbClr val="C00000"/>
      </a:accent1>
      <a:accent2>
        <a:srgbClr val="ED7D31"/>
      </a:accent2>
      <a:accent3>
        <a:srgbClr val="A5A5A5"/>
      </a:accent3>
      <a:accent4>
        <a:srgbClr val="FFC000"/>
      </a:accent4>
      <a:accent5>
        <a:srgbClr val="C00000"/>
      </a:accent5>
      <a:accent6>
        <a:srgbClr val="70AD47"/>
      </a:accent6>
      <a:hlink>
        <a:srgbClr val="C00000"/>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15BF2-DCE5-4D09-A212-79C23C162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1869</Words>
  <Characters>11217</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Maciocha</dc:creator>
  <cp:keywords/>
  <dc:description/>
  <cp:lastModifiedBy>Maciej Buczkowski</cp:lastModifiedBy>
  <cp:revision>2</cp:revision>
  <dcterms:created xsi:type="dcterms:W3CDTF">2020-04-30T13:05:00Z</dcterms:created>
  <dcterms:modified xsi:type="dcterms:W3CDTF">2020-04-30T13:05:00Z</dcterms:modified>
</cp:coreProperties>
</file>